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cs="宋体"/>
          <w:b/>
          <w:color w:val="000000" w:themeColor="text1"/>
          <w:sz w:val="8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84"/>
          <w:highlight w:val="none"/>
          <w:lang w:val="en-US" w:eastAsia="zh-CN"/>
          <w14:textFill>
            <w14:solidFill>
              <w14:schemeClr w14:val="tx1"/>
            </w14:solidFill>
          </w14:textFill>
        </w:rPr>
      </w:r>
      <w:r/>
    </w:p>
    <w:p>
      <w:pPr>
        <w:jc w:val="left"/>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   招　标　文　件</w:t>
      </w:r>
      <w:r/>
    </w:p>
    <w:p>
      <w:pPr>
        <w:ind w:left="2570" w:hanging="2570"/>
        <w:spacing w:before="240" w:after="240"/>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项目名称：</w:t>
      </w:r>
      <w:r>
        <w:rPr>
          <w:rFonts w:hint="eastAsia" w:ascii="宋体" w:hAnsi="宋体" w:cs="宋体"/>
          <w:b/>
          <w:color w:val="000000" w:themeColor="text1"/>
          <w:sz w:val="32"/>
          <w:highlight w:val="none"/>
          <w:lang w:eastAsia="zh-CN"/>
          <w14:textFill>
            <w14:solidFill>
              <w14:schemeClr w14:val="tx1"/>
            </w14:solidFill>
          </w14:textFill>
        </w:rPr>
        <w:t xml:space="preserve">泗洪县档案馆库房档案装具及文化建设项目</w:t>
      </w:r>
      <w:r/>
    </w:p>
    <w:p>
      <w:pPr>
        <w:spacing w:before="240" w:after="240"/>
        <w:shd w:val="clear" w:color="auto"/>
        <w:rPr>
          <w:rFonts w:hint="eastAsia" w:ascii="宋体" w:hAnsi="宋体" w:eastAsia="宋体" w:cs="宋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项目编号：</w:t>
      </w:r>
      <w:r>
        <w:rPr>
          <w:rFonts w:hint="eastAsia" w:ascii="宋体" w:hAnsi="宋体" w:cs="宋体"/>
          <w:b/>
          <w:color w:val="000000" w:themeColor="text1"/>
          <w:sz w:val="32"/>
          <w:highlight w:val="none"/>
          <w:lang w:eastAsia="zh-CN"/>
          <w14:textFill>
            <w14:solidFill>
              <w14:schemeClr w14:val="tx1"/>
            </w14:solidFill>
          </w14:textFill>
        </w:rPr>
        <w:t xml:space="preserve">JSZC-321324-XSZX-G2026-0011</w:t>
      </w:r>
      <w:r/>
    </w:p>
    <w:p>
      <w:pPr>
        <w:ind w:firstLine="301"/>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r>
      <w:r/>
    </w:p>
    <w:p>
      <w:pPr>
        <w:ind w:firstLine="301"/>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11013"/>
      <w:r>
        <w:rPr>
          <w:rFonts w:hint="eastAsia" w:ascii="宋体" w:hAnsi="宋体" w:eastAsia="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货物</w:t>
      </w:r>
      <w:r>
        <w:rPr>
          <w:rFonts w:hint="eastAsia" w:ascii="宋体" w:hAnsi="宋体" w:eastAsia="宋体" w:cs="宋体"/>
          <w:b/>
          <w:color w:val="000000" w:themeColor="text1"/>
          <w:sz w:val="30"/>
          <w:highlight w:val="none"/>
          <w14:textFill>
            <w14:solidFill>
              <w14:schemeClr w14:val="tx1"/>
            </w14:solidFill>
          </w14:textFill>
        </w:rPr>
        <w:t xml:space="preserve">类项目，</w:t>
      </w:r>
      <w:r>
        <w:rPr>
          <w:rFonts w:hint="eastAsia" w:ascii="宋体" w:hAnsi="宋体" w:eastAsia="宋体" w:cs="宋体"/>
          <w:b/>
          <w:color w:val="000000" w:themeColor="text1"/>
          <w:sz w:val="30"/>
          <w:highlight w:val="none"/>
          <w:lang w:val="en-US" w:eastAsia="zh-CN"/>
          <w14:textFill>
            <w14:solidFill>
              <w14:schemeClr w14:val="tx1"/>
            </w14:solidFill>
          </w14:textFill>
        </w:rPr>
        <w:t xml:space="preserve">本项目</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不</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none"/>
          <w:lang w:val="en-US" w:eastAsia="zh-CN"/>
          <w14:textFill>
            <w14:solidFill>
              <w14:schemeClr w14:val="tx1"/>
            </w14:solidFill>
          </w14:textFill>
        </w:rPr>
        <w:t xml:space="preserve">专</w:t>
      </w:r>
      <w:r>
        <w:rPr>
          <w:rFonts w:hint="eastAsia" w:ascii="宋体" w:hAnsi="宋体" w:eastAsia="宋体" w:cs="宋体"/>
          <w:b/>
          <w:color w:val="000000" w:themeColor="text1"/>
          <w:sz w:val="30"/>
          <w:highlight w:val="none"/>
          <w:u w:val="none"/>
          <w14:textFill>
            <w14:solidFill>
              <w14:schemeClr w14:val="tx1"/>
            </w14:solidFill>
          </w14:textFill>
        </w:rPr>
        <w:t xml:space="preserve">门</w:t>
      </w:r>
      <w:r>
        <w:rPr>
          <w:rFonts w:hint="eastAsia" w:ascii="宋体" w:hAnsi="宋体" w:eastAsia="宋体" w:cs="宋体"/>
          <w:b/>
          <w:color w:val="000000" w:themeColor="text1"/>
          <w:sz w:val="30"/>
          <w:highlight w:val="none"/>
          <w14:textFill>
            <w14:solidFill>
              <w14:schemeClr w14:val="tx1"/>
            </w14:solidFill>
          </w14:textFill>
        </w:rPr>
        <w:t xml:space="preserve">面向中小企业）</w:t>
      </w:r>
      <w:bookmarkEnd w:id="0"/>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93"/>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9"/>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93"/>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before="240" w:after="240"/>
        <w:shd w:val="clear" w:color="auto"/>
        <w:rPr>
          <w:rFonts w:hint="eastAsia" w:ascii="宋体" w:hAnsi="宋体" w:eastAsia="宋体" w:cs="宋体"/>
          <w:b/>
          <w:color w:val="000000" w:themeColor="text1"/>
          <w:sz w:val="3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 w:name="_Toc3490"/>
      <w:r>
        <w:rPr>
          <w:rFonts w:hint="eastAsia" w:ascii="宋体" w:hAnsi="宋体" w:eastAsia="宋体" w:cs="宋体"/>
          <w:b/>
          <w:color w:val="000000" w:themeColor="text1"/>
          <w:sz w:val="32"/>
          <w:highlight w:val="none"/>
          <w14:textFill>
            <w14:solidFill>
              <w14:schemeClr w14:val="tx1"/>
            </w14:solidFill>
          </w14:textFill>
        </w:rPr>
        <w:t xml:space="preserve">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人：</w:t>
      </w:r>
      <w:bookmarkEnd w:id="1"/>
      <w:r>
        <w:rPr>
          <w:rFonts w:hint="eastAsia" w:ascii="宋体" w:hAnsi="宋体" w:cs="宋体"/>
          <w:b/>
          <w:color w:val="000000" w:themeColor="text1"/>
          <w:sz w:val="32"/>
          <w:highlight w:val="none"/>
          <w:u w:val="single"/>
          <w:lang w:val="en-US" w:eastAsia="zh-CN"/>
          <w14:textFill>
            <w14:solidFill>
              <w14:schemeClr w14:val="tx1"/>
            </w14:solidFill>
          </w14:textFill>
        </w:rPr>
        <w:t xml:space="preserve">泗洪县档案馆</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采购代理机构：</w:t>
      </w:r>
      <w:r>
        <w:rPr>
          <w:rFonts w:hint="eastAsia" w:ascii="宋体" w:hAnsi="宋体" w:eastAsia="宋体" w:cs="宋体"/>
          <w:b/>
          <w:color w:val="000000" w:themeColor="text1"/>
          <w:sz w:val="32"/>
          <w:highlight w:val="none"/>
          <w:u w:val="single"/>
          <w14:textFill>
            <w14:solidFill>
              <w14:schemeClr w14:val="tx1"/>
            </w14:solidFill>
          </w14:textFill>
        </w:rPr>
        <w:t xml:space="preserve">江苏襄盛工程咨询有限公司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u w:val="none"/>
          <w:lang w:val="en-US" w:eastAsia="zh-CN"/>
          <w14:textFill>
            <w14:solidFill>
              <w14:schemeClr w14:val="tx1"/>
            </w14:solidFill>
          </w14:textFill>
        </w:rPr>
        <w:t xml:space="preserve">日期：</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u w:val="single"/>
          <w14:textFill>
            <w14:solidFill>
              <w14:schemeClr w14:val="tx1"/>
            </w14:solidFill>
          </w14:textFill>
        </w:rPr>
        <w:t xml:space="preserve">202</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6</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5  </w:t>
      </w:r>
      <w:r>
        <w:rPr>
          <w:rFonts w:hint="eastAsia" w:ascii="宋体" w:hAnsi="宋体" w:eastAsia="宋体" w:cs="宋体"/>
          <w:b/>
          <w:color w:val="000000" w:themeColor="text1"/>
          <w:sz w:val="32"/>
          <w:highlight w:val="none"/>
          <w14:textFill>
            <w14:solidFill>
              <w14:schemeClr w14:val="tx1"/>
            </w14:solidFill>
          </w14:textFill>
        </w:rPr>
        <w:t xml:space="preserve">月</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13 </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日</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pStyle w:val="837"/>
        <w:shd w:val="clear" w:color="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left="0" w:right="0" w:firstLine="0"/>
        <w:jc w:val="center"/>
        <w:spacing w:before="0" w:after="0" w:line="240" w:lineRule="auto"/>
        <w:shd w:val="clear" w:color="auto"/>
        <w:rPr>
          <w:sz w:val="36"/>
          <w:szCs w:val="36"/>
          <w:highlight w:val="none"/>
        </w:rPr>
      </w:pPr>
      <w:r>
        <w:rPr>
          <w:rFonts w:ascii="宋体" w:hAnsi="宋体" w:eastAsia="宋体"/>
          <w:sz w:val="36"/>
          <w:szCs w:val="36"/>
          <w:highlight w:val="none"/>
        </w:rPr>
        <w:t xml:space="preserve">目录</w:t>
      </w:r>
      <w:r/>
    </w:p>
    <w:p>
      <w:pPr>
        <w:pStyle w:val="1198"/>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1198"/>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_Toc17201 </w:instrText>
      </w:r>
      <w:r>
        <w:rPr>
          <w:sz w:val="32"/>
          <w:szCs w:val="32"/>
          <w:highlight w:val="none"/>
        </w:rPr>
        <w:fldChar w:fldCharType="separate"/>
      </w:r>
      <w:r>
        <w:rPr>
          <w:rFonts w:hint="eastAsia" w:ascii="宋体" w:hAnsi="宋体" w:eastAsia="宋体" w:cs="宋体"/>
          <w:sz w:val="32"/>
          <w:szCs w:val="32"/>
          <w:highlight w:val="none"/>
        </w:rPr>
        <w:t xml:space="preserve">第一章投标邀请函</w:t>
      </w:r>
      <w:r>
        <w:rPr>
          <w:sz w:val="32"/>
          <w:szCs w:val="32"/>
          <w:highlight w:val="none"/>
        </w:rPr>
        <w:tab/>
      </w:r>
      <w:r>
        <w:rPr>
          <w:sz w:val="32"/>
          <w:szCs w:val="32"/>
          <w:highlight w:val="none"/>
        </w:rPr>
        <w:fldChar w:fldCharType="begin"/>
      </w:r>
      <w:r>
        <w:rPr>
          <w:sz w:val="32"/>
          <w:szCs w:val="32"/>
          <w:highlight w:val="none"/>
        </w:rPr>
        <w:instrText xml:space="preserve"> PAGEREF _Toc17201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sz w:val="32"/>
          <w:szCs w:val="32"/>
          <w:highlight w:val="none"/>
        </w:rPr>
        <w:fldChar w:fldCharType="end"/>
      </w:r>
      <w:r/>
    </w:p>
    <w:p>
      <w:pPr>
        <w:pStyle w:val="1198"/>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_Toc16280 </w:instrText>
      </w:r>
      <w:r>
        <w:rPr>
          <w:sz w:val="32"/>
          <w:szCs w:val="32"/>
          <w:highlight w:val="none"/>
        </w:rPr>
        <w:fldChar w:fldCharType="separate"/>
      </w:r>
      <w:r>
        <w:rPr>
          <w:rFonts w:hint="eastAsia" w:ascii="宋体" w:hAnsi="宋体" w:eastAsia="宋体" w:cs="宋体"/>
          <w:sz w:val="32"/>
          <w:szCs w:val="32"/>
          <w:highlight w:val="none"/>
        </w:rPr>
        <w:t xml:space="preserve">第二章投标人须知</w:t>
      </w:r>
      <w:r>
        <w:rPr>
          <w:sz w:val="32"/>
          <w:szCs w:val="32"/>
          <w:highlight w:val="none"/>
        </w:rPr>
        <w:tab/>
      </w:r>
      <w:r>
        <w:rPr>
          <w:rFonts w:hint="eastAsia"/>
          <w:sz w:val="32"/>
          <w:szCs w:val="32"/>
          <w:highlight w:val="none"/>
          <w:lang w:val="en-US" w:eastAsia="zh-CN"/>
        </w:rPr>
        <w:t xml:space="preserve">7</w:t>
      </w:r>
      <w:r>
        <w:rPr>
          <w:sz w:val="32"/>
          <w:szCs w:val="32"/>
          <w:highlight w:val="none"/>
        </w:rPr>
        <w:fldChar w:fldCharType="end"/>
      </w:r>
      <w:r/>
    </w:p>
    <w:p>
      <w:pPr>
        <w:pStyle w:val="1198"/>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_Toc14096 </w:instrText>
      </w:r>
      <w:r>
        <w:rPr>
          <w:sz w:val="32"/>
          <w:szCs w:val="32"/>
          <w:highlight w:val="none"/>
        </w:rPr>
        <w:fldChar w:fldCharType="separate"/>
      </w:r>
      <w:r>
        <w:rPr>
          <w:rFonts w:hint="eastAsia" w:ascii="宋体" w:hAnsi="宋体" w:eastAsia="宋体" w:cs="宋体"/>
          <w:sz w:val="32"/>
          <w:szCs w:val="48"/>
          <w:highlight w:val="none"/>
        </w:rPr>
        <w:t xml:space="preserve">第三章 </w:t>
      </w:r>
      <w:r>
        <w:rPr>
          <w:rFonts w:hint="eastAsia" w:ascii="宋体" w:hAnsi="宋体" w:eastAsia="宋体" w:cs="宋体"/>
          <w:sz w:val="32"/>
          <w:szCs w:val="72"/>
          <w:highlight w:val="none"/>
        </w:rPr>
        <w:t xml:space="preserve">合同格式及条款（草案）</w:t>
      </w:r>
      <w:r>
        <w:rPr>
          <w:sz w:val="32"/>
          <w:szCs w:val="32"/>
          <w:highlight w:val="none"/>
        </w:rPr>
        <w:tab/>
      </w:r>
      <w:r>
        <w:rPr>
          <w:rFonts w:hint="eastAsia"/>
          <w:sz w:val="32"/>
          <w:szCs w:val="32"/>
          <w:highlight w:val="none"/>
          <w:lang w:val="en-US" w:eastAsia="zh-CN"/>
        </w:rPr>
        <w:t xml:space="preserve">2</w:t>
      </w:r>
      <w:r>
        <w:rPr>
          <w:sz w:val="32"/>
          <w:szCs w:val="32"/>
          <w:highlight w:val="none"/>
        </w:rPr>
        <w:fldChar w:fldCharType="end"/>
      </w:r>
      <w:r>
        <w:rPr>
          <w:rFonts w:hint="eastAsia"/>
          <w:sz w:val="32"/>
          <w:szCs w:val="32"/>
          <w:highlight w:val="none"/>
          <w:lang w:val="en-US" w:eastAsia="zh-CN"/>
        </w:rPr>
        <w:t xml:space="preserve">9</w:t>
      </w:r>
      <w:r/>
    </w:p>
    <w:p>
      <w:pPr>
        <w:pStyle w:val="1198"/>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_Toc15300 </w:instrText>
      </w:r>
      <w:r>
        <w:rPr>
          <w:sz w:val="32"/>
          <w:szCs w:val="32"/>
          <w:highlight w:val="none"/>
        </w:rPr>
        <w:fldChar w:fldCharType="separate"/>
      </w:r>
      <w:r>
        <w:rPr>
          <w:rFonts w:hint="eastAsia" w:ascii="宋体" w:hAnsi="宋体" w:eastAsia="宋体" w:cs="宋体"/>
          <w:sz w:val="32"/>
          <w:szCs w:val="32"/>
          <w:highlight w:val="none"/>
        </w:rPr>
        <w:t xml:space="preserve">第四章 采购需求</w:t>
      </w:r>
      <w:r>
        <w:rPr>
          <w:sz w:val="32"/>
          <w:szCs w:val="32"/>
          <w:highlight w:val="none"/>
        </w:rPr>
        <w:tab/>
      </w:r>
      <w:r>
        <w:rPr>
          <w:rFonts w:hint="eastAsia"/>
          <w:sz w:val="32"/>
          <w:szCs w:val="32"/>
          <w:highlight w:val="none"/>
          <w:lang w:val="en-US" w:eastAsia="zh-CN"/>
        </w:rPr>
        <w:t xml:space="preserve">3</w:t>
      </w:r>
      <w:r>
        <w:rPr>
          <w:sz w:val="32"/>
          <w:szCs w:val="32"/>
          <w:highlight w:val="none"/>
        </w:rPr>
        <w:fldChar w:fldCharType="end"/>
      </w:r>
      <w:r>
        <w:rPr>
          <w:rFonts w:hint="eastAsia"/>
          <w:sz w:val="32"/>
          <w:szCs w:val="32"/>
          <w:highlight w:val="none"/>
          <w:lang w:val="en-US" w:eastAsia="zh-CN"/>
        </w:rPr>
        <w:t xml:space="preserve">9</w:t>
      </w:r>
      <w:r/>
    </w:p>
    <w:p>
      <w:pPr>
        <w:pStyle w:val="1198"/>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_Toc2242 </w:instrText>
      </w:r>
      <w:r>
        <w:rPr>
          <w:sz w:val="32"/>
          <w:szCs w:val="32"/>
          <w:highlight w:val="none"/>
        </w:rPr>
        <w:fldChar w:fldCharType="separate"/>
      </w:r>
      <w:r>
        <w:rPr>
          <w:rFonts w:hint="eastAsia" w:ascii="宋体" w:hAnsi="宋体" w:eastAsia="宋体" w:cs="宋体"/>
          <w:sz w:val="32"/>
          <w:szCs w:val="32"/>
          <w:highlight w:val="none"/>
        </w:rPr>
        <w:t xml:space="preserve">第五章评标方法与评标标准</w:t>
      </w:r>
      <w:r>
        <w:rPr>
          <w:sz w:val="32"/>
          <w:szCs w:val="32"/>
          <w:highlight w:val="none"/>
        </w:rPr>
        <w:tab/>
      </w:r>
      <w:r>
        <w:rPr>
          <w:rFonts w:hint="eastAsia"/>
          <w:sz w:val="32"/>
          <w:szCs w:val="32"/>
          <w:highlight w:val="none"/>
          <w:lang w:val="en-US" w:eastAsia="zh-CN"/>
        </w:rPr>
        <w:t xml:space="preserve">4</w:t>
      </w:r>
      <w:r>
        <w:rPr>
          <w:sz w:val="32"/>
          <w:szCs w:val="32"/>
          <w:highlight w:val="none"/>
        </w:rPr>
        <w:fldChar w:fldCharType="end"/>
      </w:r>
      <w:r>
        <w:rPr>
          <w:rFonts w:hint="eastAsia"/>
          <w:sz w:val="32"/>
          <w:szCs w:val="32"/>
          <w:highlight w:val="none"/>
          <w:lang w:val="en-US" w:eastAsia="zh-CN"/>
        </w:rPr>
        <w:t xml:space="preserve">9</w:t>
      </w:r>
      <w:r/>
    </w:p>
    <w:p>
      <w:pPr>
        <w:pStyle w:val="1198"/>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_Toc31527 </w:instrText>
      </w:r>
      <w:r>
        <w:rPr>
          <w:sz w:val="32"/>
          <w:szCs w:val="32"/>
          <w:highlight w:val="none"/>
        </w:rPr>
        <w:fldChar w:fldCharType="separate"/>
      </w:r>
      <w:r>
        <w:rPr>
          <w:rFonts w:hint="eastAsia" w:ascii="宋体" w:hAnsi="宋体" w:eastAsia="宋体" w:cs="宋体"/>
          <w:sz w:val="32"/>
          <w:szCs w:val="32"/>
          <w:highlight w:val="none"/>
        </w:rPr>
        <w:t xml:space="preserve">第六章投标文件格式</w:t>
      </w:r>
      <w:r>
        <w:rPr>
          <w:sz w:val="32"/>
          <w:szCs w:val="32"/>
          <w:highlight w:val="none"/>
        </w:rPr>
        <w:tab/>
      </w:r>
      <w:r>
        <w:rPr>
          <w:sz w:val="32"/>
          <w:szCs w:val="32"/>
          <w:highlight w:val="none"/>
        </w:rPr>
        <w:fldChar w:fldCharType="begin"/>
      </w:r>
      <w:r>
        <w:rPr>
          <w:sz w:val="32"/>
          <w:szCs w:val="32"/>
          <w:highlight w:val="none"/>
        </w:rPr>
        <w:instrText xml:space="preserve"> PAGEREF _Toc31527 \h </w:instrText>
      </w:r>
      <w:r>
        <w:rPr>
          <w:sz w:val="32"/>
          <w:szCs w:val="32"/>
          <w:highlight w:val="none"/>
        </w:rPr>
        <w:fldChar w:fldCharType="separate"/>
      </w:r>
      <w:r>
        <w:rPr>
          <w:sz w:val="32"/>
          <w:szCs w:val="32"/>
          <w:highlight w:val="none"/>
        </w:rPr>
        <w:t xml:space="preserve">5</w:t>
      </w:r>
      <w:r>
        <w:rPr>
          <w:rFonts w:hint="eastAsia"/>
          <w:sz w:val="32"/>
          <w:szCs w:val="32"/>
          <w:highlight w:val="none"/>
          <w:lang w:val="en-US" w:eastAsia="zh-CN"/>
        </w:rPr>
        <w:t xml:space="preserve">2</w:t>
      </w:r>
      <w:r>
        <w:rPr>
          <w:sz w:val="32"/>
          <w:szCs w:val="32"/>
          <w:highlight w:val="none"/>
        </w:rPr>
        <w:fldChar w:fldCharType="end"/>
      </w:r>
      <w:r>
        <w:rPr>
          <w:sz w:val="32"/>
          <w:szCs w:val="32"/>
          <w:highlight w:val="none"/>
        </w:rPr>
        <w:fldChar w:fldCharType="end"/>
      </w:r>
      <w:r/>
    </w:p>
    <w:p>
      <w:pPr>
        <w:pStyle w:val="1198"/>
        <w:shd w:val="clear" w:color="auto"/>
        <w:tabs>
          <w:tab w:val="right" w:pos="9026" w:leader="dot"/>
        </w:tabs>
        <w:rPr>
          <w:sz w:val="32"/>
          <w:szCs w:val="32"/>
          <w:highlight w:val="none"/>
        </w:rPr>
      </w:pPr>
      <w:r>
        <w:rPr>
          <w:sz w:val="32"/>
          <w:szCs w:val="32"/>
          <w:highlight w:val="none"/>
        </w:rPr>
      </w:r>
      <w:r/>
    </w:p>
    <w:p>
      <w:pPr>
        <w:shd w:val="clear" w:color="auto"/>
        <w:rPr>
          <w:highlight w:val="none"/>
        </w:rPr>
      </w:pPr>
      <w:r>
        <w:rPr>
          <w:sz w:val="32"/>
          <w:szCs w:val="32"/>
          <w:highlight w:val="none"/>
        </w:rPr>
        <w:fldChar w:fldCharType="end"/>
      </w:r>
      <w:r/>
    </w:p>
    <w:p>
      <w:pPr>
        <w:shd w:val="clear" w:color="auto"/>
        <w:rPr>
          <w:highlight w:val="none"/>
        </w:rPr>
      </w:pPr>
      <w:r>
        <w:rPr>
          <w:highlight w:val="none"/>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78"/>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 w:name="_Toc17201"/>
      <w:r>
        <w:rPr>
          <w:rFonts w:hint="eastAsia" w:ascii="宋体" w:hAnsi="宋体" w:eastAsia="宋体" w:cs="宋体"/>
          <w:b/>
          <w:color w:val="000000" w:themeColor="text1"/>
          <w:sz w:val="44"/>
          <w:highlight w:val="none"/>
          <w14:textFill>
            <w14:solidFill>
              <w14:schemeClr w14:val="tx1"/>
            </w14:solidFill>
          </w14:textFill>
        </w:rPr>
        <w:t xml:space="preserve"> 第一章投标邀请函</w:t>
      </w:r>
      <w:bookmarkEnd w:id="2"/>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项目概况</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日09时00分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 w:name="_Toc4099"/>
      <w:r/>
      <w:bookmarkStart w:id="4" w:name="_Toc14953"/>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3"/>
      <w:r/>
      <w:bookmarkEnd w:id="4"/>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 w:name="OLE_LINK9"/>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p>
    <w:p>
      <w:pPr>
        <w:ind w:firstLine="480"/>
        <w:spacing w:line="559" w:lineRule="atLeast"/>
        <w:shd w:val="clear" w:color="auto"/>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3.预算金额：</w:t>
      </w:r>
      <w:r>
        <w:rPr>
          <w:rFonts w:hint="eastAsia" w:ascii="宋体" w:hAnsi="宋体" w:cs="宋体"/>
          <w:color w:val="000000" w:themeColor="text1"/>
          <w:sz w:val="24"/>
          <w:highlight w:val="none"/>
          <w:lang w:val="en-US" w:eastAsia="zh-CN"/>
          <w14:textFill>
            <w14:solidFill>
              <w14:schemeClr w14:val="tx1"/>
            </w14:solidFill>
          </w14:textFill>
        </w:rPr>
        <w:t xml:space="preserve">970.7562万元</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w:t>
      </w:r>
      <w:r>
        <w:rPr>
          <w:rFonts w:hint="eastAsia" w:ascii="宋体" w:hAnsi="宋体" w:eastAsia="宋体" w:cs="宋体"/>
          <w:color w:val="000000" w:themeColor="text1"/>
          <w:sz w:val="24"/>
          <w:highlight w:val="none"/>
          <w:u w:val="single"/>
          <w14:textFill>
            <w14:solidFill>
              <w14:schemeClr w14:val="tx1"/>
            </w14:solidFill>
          </w14:textFill>
        </w:rPr>
        <w:t xml:space="preserve"> 设定 </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最高限价为</w:t>
      </w:r>
      <w:r>
        <w:rPr>
          <w:rFonts w:hint="eastAsia" w:ascii="宋体" w:hAnsi="宋体" w:cs="宋体"/>
          <w:color w:val="000000" w:themeColor="text1"/>
          <w:sz w:val="24"/>
          <w:highlight w:val="none"/>
          <w:lang w:val="en-US" w:eastAsia="zh-CN"/>
          <w14:textFill>
            <w14:solidFill>
              <w14:schemeClr w14:val="tx1"/>
            </w14:solidFill>
          </w14:textFill>
        </w:rPr>
        <w:t xml:space="preserve">970.7562</w:t>
      </w:r>
      <w:r>
        <w:rPr>
          <w:rFonts w:hint="eastAsia" w:ascii="宋体" w:hAnsi="宋体" w:cs="宋体"/>
          <w:color w:val="000000" w:themeColor="text1"/>
          <w:sz w:val="24"/>
          <w:highlight w:val="none"/>
          <w:lang w:eastAsia="zh-CN"/>
          <w14:textFill>
            <w14:solidFill>
              <w14:schemeClr w14:val="tx1"/>
            </w14:solidFill>
          </w14:textFill>
        </w:rPr>
        <w:t xml:space="preserve">万元。</w:t>
      </w:r>
      <w:bookmarkEnd w:id="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OLE_LINK58"/>
      <w:r>
        <w:rPr>
          <w:rFonts w:hint="eastAsia" w:ascii="宋体" w:hAnsi="宋体" w:eastAsia="宋体" w:cs="宋体"/>
          <w:color w:val="000000" w:themeColor="text1"/>
          <w:sz w:val="24"/>
          <w:highlight w:val="none"/>
          <w14:textFill>
            <w14:solidFill>
              <w14:schemeClr w14:val="tx1"/>
            </w14:solidFill>
          </w14:textFill>
        </w:rPr>
        <w:t xml:space="preserve">5.采购需求（简介）：</w:t>
      </w:r>
      <w:bookmarkStart w:id="7" w:name="OLE_LINK10"/>
      <w:r/>
      <w:bookmarkStart w:id="8" w:name="OLE_LINK57"/>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7"/>
      <w:r/>
      <w:bookmarkEnd w:id="8"/>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bookmarkStart w:id="9" w:name="OLE_LINK36"/>
      <w:r>
        <w:rPr>
          <w:rFonts w:hint="eastAsia" w:ascii="宋体" w:hAnsi="宋体" w:eastAsia="宋体" w:cs="宋体"/>
          <w:color w:val="000000" w:themeColor="text1"/>
          <w:sz w:val="24"/>
          <w:highlight w:val="none"/>
          <w14:textFill>
            <w14:solidFill>
              <w14:schemeClr w14:val="tx1"/>
            </w14:solidFill>
          </w14:textFill>
        </w:rPr>
        <w:t xml:space="preserve">合同履行期限：</w:t>
      </w:r>
      <w:bookmarkEnd w:id="6"/>
      <w:r/>
      <w:bookmarkEnd w:id="9"/>
      <w:r/>
      <w:bookmarkStart w:id="10" w:name="OLE_LINK49"/>
      <w:r>
        <w:rPr>
          <w:rFonts w:hint="eastAsia" w:ascii="宋体" w:hAnsi="宋体" w:eastAsia="宋体" w:cs="宋体"/>
          <w:color w:val="000000" w:themeColor="text1"/>
          <w:sz w:val="24"/>
          <w:highlight w:val="none"/>
          <w14:textFill>
            <w14:solidFill>
              <w14:schemeClr w14:val="tx1"/>
            </w14:solidFill>
          </w14:textFill>
        </w:rPr>
        <w:t xml:space="preserve">采购合同签订后150日历天内供货安装调试完毕并交付使用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10"/>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7.本项目</w:t>
      </w:r>
      <w:r>
        <w:rPr>
          <w:rFonts w:hint="eastAsia" w:ascii="宋体" w:hAnsi="宋体" w:eastAsia="宋体" w:cs="宋体"/>
          <w:color w:val="000000" w:themeColor="text1"/>
          <w:sz w:val="24"/>
          <w:highlight w:val="none"/>
          <w:u w:val="single"/>
          <w14:textFill>
            <w14:solidFill>
              <w14:schemeClr w14:val="tx1"/>
            </w14:solidFill>
          </w14:textFill>
        </w:rPr>
        <w:t xml:space="preserve"> 不接受 </w:t>
      </w:r>
      <w:r>
        <w:rPr>
          <w:rFonts w:hint="eastAsia" w:ascii="宋体" w:hAnsi="宋体" w:eastAsia="宋体" w:cs="宋体"/>
          <w:color w:val="000000" w:themeColor="text1"/>
          <w:sz w:val="24"/>
          <w:highlight w:val="none"/>
          <w14:textFill>
            <w14:solidFill>
              <w14:schemeClr w14:val="tx1"/>
            </w14:solidFill>
          </w14:textFill>
        </w:rPr>
        <w:t xml:space="preserve">联合体投标。</w:t>
      </w:r>
      <w:r/>
    </w:p>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 w:name="_Toc12106"/>
      <w:r/>
      <w:bookmarkStart w:id="12" w:name="_Toc4096"/>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11"/>
      <w:r/>
      <w:bookmarkEnd w:id="12"/>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（一）通用资格要求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 w:name="OLE_LINK59"/>
      <w:r/>
      <w:bookmarkStart w:id="14" w:name="OLE_LINK33"/>
      <w:r>
        <w:rPr>
          <w:rFonts w:hint="eastAsia" w:ascii="宋体" w:hAnsi="宋体" w:eastAsia="宋体" w:cs="宋体"/>
          <w:color w:val="000000" w:themeColor="text1"/>
          <w:sz w:val="24"/>
          <w:highlight w:val="none"/>
          <w14:textFill>
            <w14:solidFill>
              <w14:schemeClr w14:val="tx1"/>
            </w14:solidFill>
          </w14:textFill>
        </w:rPr>
        <w:t xml:space="preserve">1.</w:t>
      </w:r>
      <w:bookmarkStart w:id="15" w:name="OLE_LINK16"/>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具备《中华人民共和国政府采购法》第二十二条第一款规定的6项条件（按要求提供投标声明及承诺函）。</w:t>
      </w:r>
      <w:bookmarkEnd w:id="13"/>
      <w:r/>
      <w:bookmarkEnd w:id="1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bookmarkStart w:id="16" w:name="OLE_LINK17"/>
      <w:r>
        <w:rPr>
          <w:rFonts w:hint="eastAsia" w:ascii="宋体" w:hAnsi="宋体" w:eastAsia="宋体" w:cs="宋体"/>
          <w:color w:val="000000" w:themeColor="text1"/>
          <w:sz w:val="24"/>
          <w:highlight w:val="none"/>
          <w14:textFill>
            <w14:solidFill>
              <w14:schemeClr w14:val="tx1"/>
            </w14:solidFill>
          </w14:textFill>
        </w:rPr>
        <w:t xml:space="preserve">信用信息。</w:t>
      </w:r>
      <w:bookmarkStart w:id="17" w:name="OLE_LINK66"/>
      <w:r/>
      <w:bookmarkStart w:id="18" w:name="OLE_LINK65"/>
      <w:r>
        <w:rPr>
          <w:rFonts w:hint="eastAsia" w:ascii="宋体" w:hAnsi="宋体" w:eastAsia="宋体" w:cs="宋体"/>
          <w:color w:val="000000" w:themeColor="text1"/>
          <w:sz w:val="24"/>
          <w:highlight w:val="none"/>
          <w14:textFill>
            <w14:solidFill>
              <w14:schemeClr w14:val="tx1"/>
            </w14:solidFill>
          </w14:textFill>
        </w:rPr>
        <w:t xml:space="preserve">信用信息查询渠道：“信用中国”网（www.creditchina.gov.cn）、“中国政府采购”网（www.ccgp.gov.cn）、江苏政府采购网（www.ccgp-jiangsu.gov.cn）。  </w:t>
      </w:r>
      <w:bookmarkEnd w:id="17"/>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4"/>
      <w:r/>
      <w:bookmarkEnd w:id="16"/>
      <w:r/>
      <w:bookmarkEnd w:id="18"/>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bookmarkStart w:id="19" w:name="OLE_LINK67"/>
      <w:r>
        <w:rPr>
          <w:rFonts w:hint="eastAsia" w:ascii="宋体" w:hAnsi="宋体" w:eastAsia="宋体" w:cs="宋体"/>
          <w:color w:val="000000" w:themeColor="text1"/>
          <w:sz w:val="24"/>
          <w:highlight w:val="none"/>
          <w14:textFill>
            <w14:solidFill>
              <w14:schemeClr w14:val="tx1"/>
            </w14:solidFill>
          </w14:textFill>
        </w:rPr>
        <w:t xml:space="preserve">不接受联合体投标</w:t>
      </w:r>
      <w:bookmarkEnd w:id="1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（二）落实政府采购政策需满足的资格要求：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p>
      <w:pPr>
        <w:pStyle w:val="780"/>
        <w:ind w:firstLine="482"/>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0" w:name="_Toc16100"/>
      <w:r/>
      <w:bookmarkStart w:id="21" w:name="_Toc4064"/>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bookmarkEnd w:id="20"/>
      <w:r/>
      <w:bookmarkEnd w:id="21"/>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自招标文件公告发布之日起5个工作日。</w:t>
      </w:r>
      <w:bookmarkStart w:id="138" w:name="_GoBack"/>
      <w:r/>
      <w:bookmarkEnd w:id="138"/>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2.地点：</w:t>
      </w:r>
      <w:bookmarkStart w:id="22" w:name="OLE_LINK32"/>
      <w:r>
        <w:rPr>
          <w:rFonts w:hint="eastAsia" w:ascii="宋体" w:hAnsi="宋体" w:eastAsia="宋体" w:cs="宋体"/>
          <w:color w:val="000000" w:themeColor="text1"/>
          <w:sz w:val="24"/>
          <w:highlight w:val="none"/>
          <w14:textFill>
            <w14:solidFill>
              <w14:schemeClr w14:val="tx1"/>
            </w14:solidFill>
          </w14:textFill>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2"/>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4.本项目共分一个包。投标人参与多个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包投标的，应按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包分别获取招标文件。投标人未按要求获取招标文件导致无法投标的，后果自负（其投标文件不予接受）。</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售价：0.00元 </w:t>
      </w:r>
      <w:r/>
    </w:p>
    <w:p>
      <w:pPr>
        <w:pStyle w:val="780"/>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3" w:name="_Toc19026"/>
      <w:r/>
      <w:bookmarkStart w:id="24" w:name="_Toc14123"/>
      <w:r>
        <w:rPr>
          <w:rFonts w:hint="eastAsia" w:ascii="宋体" w:hAnsi="宋体" w:eastAsia="宋体" w:cs="宋体"/>
          <w:b/>
          <w:bCs/>
          <w:color w:val="000000" w:themeColor="text1"/>
          <w:sz w:val="24"/>
          <w:szCs w:val="21"/>
          <w:highlight w:val="none"/>
          <w14:textFill>
            <w14:solidFill>
              <w14:schemeClr w14:val="tx1"/>
            </w14:solidFill>
          </w14:textFill>
        </w:rPr>
        <w:t xml:space="preserve">四、提交投标文件截止时间、开标时间和地点</w:t>
      </w:r>
      <w:bookmarkEnd w:id="23"/>
      <w:r/>
      <w:bookmarkEnd w:id="24"/>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1.提交投标文件截止时间、开标时间：</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09</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w:t>
      </w:r>
      <w:r>
        <w:rPr>
          <w:rFonts w:hint="eastAsia" w:ascii="宋体" w:hAnsi="宋体" w:eastAsia="宋体" w:cs="宋体"/>
          <w:color w:val="000000" w:themeColor="text1"/>
          <w:sz w:val="24"/>
          <w:highlight w:val="none"/>
          <w14:textFill>
            <w14:solidFill>
              <w14:schemeClr w14:val="tx1"/>
            </w14:solidFill>
          </w14:textFill>
        </w:rPr>
        <w:t xml:space="preserve">时间）</w:t>
      </w:r>
      <w:r/>
    </w:p>
    <w:p>
      <w:pPr>
        <w:spacing w:line="558"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地点：“苏采云”系统（网址： http://jszfcg.jsczt.cn/）。</w:t>
      </w:r>
      <w:r/>
    </w:p>
    <w:p>
      <w:pPr>
        <w:pStyle w:val="780"/>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5" w:name="_Toc10887"/>
      <w:r/>
      <w:bookmarkStart w:id="26" w:name="_Toc6455"/>
      <w:r>
        <w:rPr>
          <w:rFonts w:hint="eastAsia" w:ascii="宋体" w:hAnsi="宋体" w:eastAsia="宋体" w:cs="宋体"/>
          <w:b/>
          <w:bCs/>
          <w:color w:val="000000" w:themeColor="text1"/>
          <w:sz w:val="24"/>
          <w:szCs w:val="21"/>
          <w:highlight w:val="none"/>
          <w14:textFill>
            <w14:solidFill>
              <w14:schemeClr w14:val="tx1"/>
            </w14:solidFill>
          </w14:textFill>
        </w:rPr>
        <w:t xml:space="preserve">五、公告期限</w:t>
      </w:r>
      <w:bookmarkEnd w:id="25"/>
      <w:r/>
      <w:bookmarkEnd w:id="26"/>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780"/>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7" w:name="_Toc11992"/>
      <w:r/>
      <w:bookmarkStart w:id="28" w:name="_Toc17722"/>
      <w:r>
        <w:rPr>
          <w:rFonts w:hint="eastAsia" w:ascii="宋体" w:hAnsi="宋体" w:eastAsia="宋体" w:cs="宋体"/>
          <w:b/>
          <w:bCs/>
          <w:color w:val="000000" w:themeColor="text1"/>
          <w:sz w:val="24"/>
          <w:szCs w:val="21"/>
          <w:highlight w:val="none"/>
          <w14:textFill>
            <w14:solidFill>
              <w14:schemeClr w14:val="tx1"/>
            </w14:solidFill>
          </w14:textFill>
        </w:rPr>
        <w:t xml:space="preserve">六、其他补充事宜</w:t>
      </w:r>
      <w:bookmarkEnd w:id="27"/>
      <w:r/>
      <w:bookmarkEnd w:id="28"/>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 w:name="OLE_LINK35"/>
      <w:r>
        <w:rPr>
          <w:rFonts w:hint="eastAsia" w:ascii="宋体" w:hAnsi="宋体" w:eastAsia="宋体" w:cs="宋体"/>
          <w:color w:val="000000" w:themeColor="text1"/>
          <w:sz w:val="24"/>
          <w:highlight w:val="none"/>
          <w14:textFill>
            <w14:solidFill>
              <w14:schemeClr w14:val="tx1"/>
            </w14:solidFill>
          </w14:textFill>
        </w:rPr>
        <w:t xml:space="preserve">1.财政部门监督电话：</w:t>
      </w:r>
      <w:r>
        <w:rPr>
          <w:rFonts w:hint="eastAsia" w:ascii="宋体" w:hAnsi="宋体" w:eastAsia="宋体" w:cs="宋体"/>
          <w:b/>
          <w:color w:val="000000" w:themeColor="text1"/>
          <w:sz w:val="24"/>
          <w:highlight w:val="none"/>
          <w:u w:val="single"/>
          <w14:textFill>
            <w14:solidFill>
              <w14:schemeClr w14:val="tx1"/>
            </w14:solidFill>
          </w14:textFill>
        </w:rPr>
        <w:t xml:space="preserve">0527-88359233。</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bookmarkEnd w:id="29"/>
      <w:r/>
      <w:r/>
    </w:p>
    <w:p>
      <w:pPr>
        <w:pStyle w:val="780"/>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0" w:name="_Toc31980"/>
      <w:r/>
      <w:bookmarkStart w:id="31" w:name="_Toc28105"/>
      <w:r>
        <w:rPr>
          <w:rFonts w:hint="eastAsia" w:ascii="宋体" w:hAnsi="宋体" w:eastAsia="宋体" w:cs="宋体"/>
          <w:b/>
          <w:bCs/>
          <w:color w:val="000000" w:themeColor="text1"/>
          <w:sz w:val="24"/>
          <w:szCs w:val="21"/>
          <w:highlight w:val="none"/>
          <w14:textFill>
            <w14:solidFill>
              <w14:schemeClr w14:val="tx1"/>
            </w14:solidFill>
          </w14:textFill>
        </w:rPr>
        <w:t xml:space="preserve">七、本次招标联系方式</w:t>
      </w:r>
      <w:bookmarkEnd w:id="30"/>
      <w:r/>
      <w:bookmarkEnd w:id="31"/>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2" w:name="_Toc28359009"/>
      <w:r/>
      <w:bookmarkStart w:id="33" w:name="_Toc28359086"/>
      <w:r/>
      <w:bookmarkStart w:id="34" w:name="_Toc28359010"/>
      <w:r/>
      <w:bookmarkStart w:id="35" w:name="_Toc28359087"/>
      <w:r>
        <w:rPr>
          <w:rFonts w:hint="eastAsia" w:ascii="宋体" w:hAnsi="宋体" w:eastAsia="宋体" w:cs="宋体"/>
          <w:color w:val="000000" w:themeColor="text1"/>
          <w:sz w:val="24"/>
          <w:highlight w:val="none"/>
          <w:lang w:val="en-US" w:eastAsia="zh-CN"/>
          <w14:textFill>
            <w14:solidFill>
              <w14:schemeClr w14:val="tx1"/>
            </w14:solidFill>
          </w14:textFill>
        </w:rPr>
        <w:t xml:space="preserve">1.采购人信息</w:t>
      </w:r>
      <w:bookmarkEnd w:id="32"/>
      <w:r/>
      <w:bookmarkEnd w:id="33"/>
      <w:r/>
      <w:bookmarkEnd w:id="34"/>
      <w:r/>
      <w:bookmarkEnd w:id="35"/>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称：泗洪县档案馆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泗洪县大楼街道仁和路1号</w:t>
      </w:r>
      <w:r/>
    </w:p>
    <w:p>
      <w:pPr>
        <w:ind w:firstLine="480"/>
        <w:spacing w:line="559" w:lineRule="atLeast"/>
        <w:shd w:val="clear" w:color="auto"/>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胡主任</w:t>
      </w:r>
      <w:r/>
    </w:p>
    <w:p>
      <w:pPr>
        <w:ind w:firstLine="480"/>
        <w:spacing w:line="559" w:lineRule="atLeast"/>
        <w:shd w:val="clear" w:color="auto"/>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2.采购代理机构信息</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　址：</w:t>
      </w:r>
      <w:bookmarkStart w:id="36" w:name="OLE_LINK47"/>
      <w:r>
        <w:rPr>
          <w:rFonts w:hint="eastAsia" w:ascii="宋体" w:hAnsi="宋体" w:eastAsia="宋体" w:cs="宋体"/>
          <w:color w:val="000000" w:themeColor="text1"/>
          <w:sz w:val="24"/>
          <w:highlight w:val="none"/>
          <w:lang w:val="en-US" w:eastAsia="zh-CN"/>
          <w14:textFill>
            <w14:solidFill>
              <w14:schemeClr w14:val="tx1"/>
            </w14:solidFill>
          </w14:textFill>
        </w:rPr>
        <w:t xml:space="preserve">泗洪县洪泽湖大街中央公馆63-202室</w:t>
      </w:r>
      <w:bookmarkEnd w:id="36"/>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联系人：张工</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w:t>
      </w:r>
      <w:bookmarkStart w:id="37" w:name="OLE_LINK64"/>
      <w:r>
        <w:rPr>
          <w:rFonts w:hint="eastAsia" w:ascii="宋体" w:hAnsi="宋体" w:eastAsia="宋体" w:cs="宋体"/>
          <w:color w:val="000000" w:themeColor="text1"/>
          <w:sz w:val="24"/>
          <w:highlight w:val="none"/>
          <w:lang w:val="en-US" w:eastAsia="zh-CN"/>
          <w14:textFill>
            <w14:solidFill>
              <w14:schemeClr w14:val="tx1"/>
            </w14:solidFill>
          </w14:textFill>
        </w:rPr>
        <w:t xml:space="preserve">19825846139</w:t>
      </w:r>
      <w:bookmarkEnd w:id="37"/>
      <w:r/>
      <w:r/>
    </w:p>
    <w:p>
      <w:pPr>
        <w:pStyle w:val="780"/>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8" w:name="_Toc23868"/>
      <w:r/>
      <w:bookmarkStart w:id="39" w:name="_Toc19475"/>
      <w:r>
        <w:rPr>
          <w:rFonts w:hint="eastAsia" w:ascii="宋体" w:hAnsi="宋体" w:eastAsia="宋体" w:cs="宋体"/>
          <w:b/>
          <w:bCs/>
          <w:color w:val="000000" w:themeColor="text1"/>
          <w:sz w:val="24"/>
          <w:szCs w:val="21"/>
          <w:highlight w:val="none"/>
          <w14:textFill>
            <w14:solidFill>
              <w14:schemeClr w14:val="tx1"/>
            </w14:solidFill>
          </w14:textFill>
        </w:rPr>
        <w:t xml:space="preserve">八、其他</w:t>
      </w:r>
      <w:bookmarkEnd w:id="38"/>
      <w:r/>
      <w:bookmarkEnd w:id="3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2.本次招标不收取投标保证金。</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78"/>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0" w:name="_Toc16280"/>
      <w:r>
        <w:rPr>
          <w:rFonts w:hint="eastAsia" w:ascii="宋体" w:hAnsi="宋体" w:eastAsia="宋体" w:cs="宋体"/>
          <w:b/>
          <w:color w:val="000000" w:themeColor="text1"/>
          <w:sz w:val="44"/>
          <w:highlight w:val="none"/>
          <w14:textFill>
            <w14:solidFill>
              <w14:schemeClr w14:val="tx1"/>
            </w14:solidFill>
          </w14:textFill>
        </w:rPr>
        <w:t xml:space="preserve"> 第二章投标人须知</w:t>
      </w:r>
      <w:bookmarkEnd w:id="40"/>
      <w:r/>
      <w:r/>
    </w:p>
    <w:p>
      <w:pPr>
        <w:pStyle w:val="779"/>
        <w:spacing w:before="260" w:after="260" w:line="761" w:lineRule="atLeast"/>
        <w:shd w:val="clear" w:color="auto"/>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投标人须知前附表：</w:t>
      </w: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88"/>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both"/>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41" w:name="RANGE!C2"/>
            <w:r>
              <w:rPr>
                <w:rFonts w:hint="eastAsia" w:ascii="宋体" w:hAnsi="宋体" w:eastAsia="宋体" w:cs="宋体"/>
                <w:color w:val="000000" w:themeColor="text1"/>
                <w:sz w:val="24"/>
                <w:szCs w:val="24"/>
                <w:highlight w:val="none"/>
                <w14:textFill>
                  <w14:solidFill>
                    <w14:schemeClr w14:val="tx1"/>
                  </w14:solidFill>
                </w14:textFill>
              </w:rPr>
              <w:t xml:space="preserve">本招标文件中“当地公共资源交易中心”是指：</w:t>
            </w:r>
            <w:bookmarkEnd w:id="4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42" w:name="RANGE!C3"/>
            <w:r>
              <w:rPr>
                <w:rFonts w:hint="eastAsia" w:ascii="宋体" w:hAnsi="宋体" w:eastAsia="宋体" w:cs="宋体"/>
                <w:color w:val="000000" w:themeColor="text1"/>
                <w:sz w:val="24"/>
                <w:szCs w:val="24"/>
                <w:highlight w:val="none"/>
                <w14:textFill>
                  <w14:solidFill>
                    <w14:schemeClr w14:val="tx1"/>
                  </w14:solidFill>
                </w14:textFill>
              </w:rPr>
              <w:t xml:space="preserve">本项目属性按以下第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1.货物采购；2.服务采购；3.工程采购。</w:t>
            </w:r>
            <w:bookmarkEnd w:id="42"/>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43" w:name="RANGE!C4"/>
            <w:r>
              <w:rPr>
                <w:rFonts w:hint="eastAsia" w:ascii="宋体" w:hAnsi="宋体" w:eastAsia="宋体" w:cs="宋体"/>
                <w:color w:val="000000" w:themeColor="text1"/>
                <w:sz w:val="24"/>
                <w:szCs w:val="24"/>
                <w:highlight w:val="none"/>
                <w14:textFill>
                  <w14:solidFill>
                    <w14:schemeClr w14:val="tx1"/>
                  </w14:solidFill>
                </w14:textFill>
              </w:rPr>
              <w:t xml:space="preserve">60日（从提交投标文件截止之日起算）</w:t>
            </w:r>
            <w:bookmarkEnd w:id="4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接受进口产品。应当符合《政府采购进口产品管理办法》(财库(2007)119 号文)、《关于政府采购进口产品管理有关问题的通知》(财办库(2008)248号文)等相关规定;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14:textFill>
                  <w14:solidFill>
                    <w14:schemeClr w14:val="tx1"/>
                  </w14:solidFill>
                </w14:textFill>
              </w:rPr>
              <w:t xml:space="preserve">招标文件规定评标办法和标准推荐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种方式确定中标人：</w:t>
            </w:r>
            <w:r/>
          </w:p>
          <w:p>
            <w:pPr>
              <w:numPr>
                <w:ilvl w:val="0"/>
                <w:numId w:val="0"/>
              </w:num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采购人授权评标委员会直接确定中标人；</w:t>
            </w:r>
            <w:r/>
          </w:p>
          <w:p>
            <w:pPr>
              <w:numPr>
                <w:ilvl w:val="0"/>
                <w:numId w:val="0"/>
              </w:num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2.采购人按照规定在评标委员会推荐的中标候选人中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按顺序</w:t>
            </w: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cs="宋体"/>
                <w:sz w:val="24"/>
                <w:szCs w:val="24"/>
                <w:highlight w:val="none"/>
              </w:rPr>
            </w:pPr>
            <w:r/>
            <w:bookmarkStart w:id="44" w:name="EBebac1462c5d9459fbda8a75065c2455d"/>
            <w:r>
              <w:rPr>
                <w:rFonts w:hint="eastAsia" w:ascii="宋体" w:hAnsi="宋体" w:cs="宋体"/>
                <w:sz w:val="24"/>
                <w:szCs w:val="24"/>
                <w:highlight w:val="none"/>
              </w:rPr>
              <w:t xml:space="preserve">本项目的非主体、非关键性工作是否允许分包</w:t>
            </w:r>
            <w:bookmarkEnd w:id="44"/>
            <w:r>
              <w:rPr>
                <w:rFonts w:hint="eastAsia" w:ascii="宋体" w:hAnsi="宋体" w:cs="宋体"/>
                <w:sz w:val="24"/>
                <w:szCs w:val="24"/>
                <w:highlight w:val="none"/>
              </w:rPr>
              <w:t xml:space="preserve">按以下第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 xml:space="preserve">种方式确定：</w:t>
            </w:r>
            <w:r/>
          </w:p>
          <w:p>
            <w:pPr>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1.允许分包：</w:t>
            </w:r>
            <w:r>
              <w:rPr>
                <w:rFonts w:hint="eastAsia" w:ascii="宋体" w:hAnsi="宋体" w:cs="宋体"/>
                <w:sz w:val="24"/>
                <w:highlight w:val="none"/>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专家评审劳务报酬支付标准、方式及周期</w:t>
            </w:r>
            <w:r/>
          </w:p>
        </w:tc>
        <w:tc>
          <w:tcPr>
            <w:shd w:val="clear" w:color="auto" w:fill="auto"/>
            <w:tcBorders>
              <w:top w:val="single" w:color="auto" w:sz="4" w:space="0"/>
              <w:left w:val="single" w:color="auto" w:sz="4" w:space="0"/>
              <w:bottom w:val="single" w:color="auto" w:sz="4" w:space="0"/>
              <w:right w:val="single" w:color="auto" w:sz="4" w:space="0"/>
            </w:tcBorders>
            <w:tcW w:w="6598" w:type="dxa"/>
            <w:vAlign w:val="center"/>
            <w:textDirection w:val="lrTb"/>
            <w:noWrap/>
          </w:tcPr>
          <w:p>
            <w:pPr>
              <w:jc w:val="left"/>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支付方式及周期:费用由采购人通过预算一体化系统支付评审费，支付周期不超过评审结束后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信用信息查询截止时间：资格审查结束前。由采购人在资格审查现场查询信用信息，网页截屏打印，查询结果留存并归档。</w:t>
            </w:r>
            <w:r/>
          </w:p>
        </w:tc>
      </w:tr>
    </w:tbl>
    <w:p>
      <w:pPr>
        <w:pStyle w:val="780"/>
        <w:ind w:firstLine="643"/>
        <w:jc w:val="both"/>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一、总则</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1、招标方式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2、合格的投标人</w:t>
      </w:r>
      <w:r/>
    </w:p>
    <w:p>
      <w:pPr>
        <w:pStyle w:val="794"/>
        <w:ind w:firstLine="480"/>
        <w:spacing w:line="500" w:lineRule="exact"/>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2.1合格的投标人必须符合招标文件第一部分《</w:t>
      </w:r>
      <w:bookmarkStart w:id="45" w:name="OLE_LINK60"/>
      <w:r>
        <w:rPr>
          <w:rFonts w:hint="eastAsia" w:ascii="宋体" w:hAnsi="宋体" w:eastAsia="宋体" w:cs="宋体"/>
          <w:color w:val="000000" w:themeColor="text1"/>
          <w:sz w:val="24"/>
          <w:highlight w:val="none"/>
          <w14:textFill>
            <w14:solidFill>
              <w14:schemeClr w14:val="tx1"/>
            </w14:solidFill>
          </w14:textFill>
        </w:rPr>
        <w:t xml:space="preserve">投标邀请函</w:t>
      </w:r>
      <w:bookmarkEnd w:id="45"/>
      <w:r>
        <w:rPr>
          <w:rFonts w:hint="eastAsia" w:ascii="宋体" w:hAnsi="宋体" w:eastAsia="宋体" w:cs="宋体"/>
          <w:color w:val="000000" w:themeColor="text1"/>
          <w:sz w:val="24"/>
          <w:highlight w:val="none"/>
          <w14:textFill>
            <w14:solidFill>
              <w14:schemeClr w14:val="tx1"/>
            </w14:solidFill>
          </w14:textFill>
        </w:rPr>
        <w:t xml:space="preserve">》第二条及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须知前附表相关规定，且具备完成本项目的能力，中标后不允许转包。</w:t>
      </w:r>
      <w:r/>
    </w:p>
    <w:p>
      <w:pPr>
        <w:pStyle w:val="794"/>
        <w:ind w:firstLine="480"/>
        <w:spacing w:line="5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2.2合格的投标人应遵守《中华人民共和国政府采购法》《中华人民共和国政府采购法实施条例》《中华人民共和国民法典（第三编合同）》等有关法律、法规。</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3、适用法律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4、投标费用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176"/>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【202</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20号文件列明的差额定率分档累进费率按项目中标金额7.5折计算，可以数字人民币方式支付。</w:t>
      </w:r>
      <w:r/>
    </w:p>
    <w:p>
      <w:pPr>
        <w:pStyle w:val="780"/>
        <w:ind w:firstLine="321"/>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二、招标文件</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highlight w:val="none"/>
          <w14:textFill>
            <w14:solidFill>
              <w14:schemeClr w14:val="tx1"/>
            </w14:solidFill>
          </w14:textFill>
        </w:rPr>
        <w:t xml:space="preserve">、招标文件构成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.1招标文件由以下部分组成：</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4"/>
          <w:highlight w:val="none"/>
          <w14:textFill>
            <w14:solidFill>
              <w14:schemeClr w14:val="tx1"/>
            </w14:solidFill>
          </w14:textFill>
        </w:rPr>
        <w:t xml:space="preserve">投标邀请</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24"/>
          <w:highlight w:val="none"/>
          <w14:textFill>
            <w14:solidFill>
              <w14:schemeClr w14:val="tx1"/>
            </w14:solidFill>
          </w14:textFill>
        </w:rPr>
        <w:t xml:space="preserve">投标人须知</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第三章 </w:t>
      </w:r>
      <w:r>
        <w:rPr>
          <w:rFonts w:hint="eastAsia" w:ascii="宋体" w:hAnsi="宋体" w:eastAsia="宋体" w:cs="宋体"/>
          <w:color w:val="000000" w:themeColor="text1"/>
          <w:sz w:val="24"/>
          <w:highlight w:val="none"/>
          <w14:textFill>
            <w14:solidFill>
              <w14:schemeClr w14:val="tx1"/>
            </w14:solidFill>
          </w14:textFill>
        </w:rPr>
        <w:t xml:space="preserve">合同文本</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第五章 </w:t>
      </w:r>
      <w:r>
        <w:rPr>
          <w:rFonts w:hint="eastAsia" w:ascii="宋体" w:hAnsi="宋体" w:eastAsia="宋体" w:cs="宋体"/>
          <w:color w:val="000000" w:themeColor="text1"/>
          <w:sz w:val="24"/>
          <w:highlight w:val="none"/>
          <w14:textFill>
            <w14:solidFill>
              <w14:schemeClr w14:val="tx1"/>
            </w14:solidFill>
          </w14:textFill>
        </w:rPr>
        <w:t xml:space="preserve">评标方法与评标标准</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highlight w:val="none"/>
          <w14:textFill>
            <w14:solidFill>
              <w14:schemeClr w14:val="tx1"/>
            </w14:solidFill>
          </w14:textFill>
        </w:rPr>
        <w:t xml:space="preserve">投标文件格式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3"/>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80" w:lineRule="exact"/>
        <w:shd w:val="clear" w:color="auto"/>
        <w:rPr>
          <w:rFonts w:hint="eastAsia" w:ascii="宋体" w:hAnsi="宋体" w:eastAsia="宋体" w:cs="宋体"/>
          <w:b/>
          <w:sz w:val="24"/>
          <w:highlight w:val="none"/>
        </w:rPr>
      </w:pPr>
      <w:r>
        <w:rPr>
          <w:rFonts w:hint="eastAsia" w:ascii="宋体" w:hAnsi="宋体" w:eastAsia="宋体" w:cs="宋体"/>
          <w:b/>
          <w:sz w:val="24"/>
          <w:highlight w:val="none"/>
        </w:rPr>
        <w:t xml:space="preserve">6、政府采购政策功能落实</w:t>
      </w:r>
      <w:r/>
    </w:p>
    <w:p>
      <w:pPr>
        <w:ind w:firstLine="482"/>
        <w:spacing w:line="480" w:lineRule="exact"/>
        <w:shd w:val="clear" w:color="auto"/>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本项目落实的政府采购政策对应序号为</w:t>
      </w:r>
      <w:r>
        <w:rPr>
          <w:rFonts w:hint="eastAsia" w:ascii="宋体" w:hAnsi="宋体" w:eastAsia="宋体" w:cs="宋体"/>
          <w:b/>
          <w:bCs/>
          <w:sz w:val="24"/>
          <w:highlight w:val="none"/>
          <w:u w:val="single"/>
        </w:rPr>
        <w:t xml:space="preserve">  6.1 </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6.2、6.3、6.4</w:t>
      </w:r>
      <w:r>
        <w:rPr>
          <w:rFonts w:hint="eastAsia" w:ascii="宋体" w:hAnsi="宋体" w:eastAsia="宋体" w:cs="宋体"/>
          <w:b/>
          <w:bCs/>
          <w:sz w:val="24"/>
          <w:highlight w:val="none"/>
          <w:u w:val="single"/>
        </w:rPr>
        <w:t xml:space="preserve">  </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6.1中小企业政策</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种政策落实：</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扣除，用扣除后的价格参加评审。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cs="宋体"/>
          <w:sz w:val="24"/>
          <w:highlight w:val="none"/>
          <w:u w:val="single"/>
        </w:rPr>
        <w:t xml:space="preserve">5</w:t>
      </w:r>
      <w:r>
        <w:rPr>
          <w:rFonts w:hint="eastAsia" w:ascii="宋体" w:hAnsi="宋体" w:cs="宋体"/>
          <w:sz w:val="24"/>
          <w:highlight w:val="none"/>
        </w:rPr>
        <w:t xml:space="preserve">%（工程项目为</w:t>
      </w:r>
      <w:r>
        <w:rPr>
          <w:rFonts w:hint="eastAsia" w:ascii="宋体" w:hAnsi="宋体" w:cs="宋体"/>
          <w:sz w:val="24"/>
          <w:highlight w:val="none"/>
          <w:u w:val="single"/>
        </w:rPr>
        <w:t xml:space="preserve">2</w:t>
      </w:r>
      <w:r>
        <w:rPr>
          <w:rFonts w:hint="eastAsia" w:ascii="宋体" w:hAnsi="宋体" w:cs="宋体"/>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⑤联合体各方均为小型、微型企业（残疾人福利单位、监狱企业）的，联合体享受15%价格扣除，用扣除后的价格参与评审。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6.2节能产品、环境标志产品</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6.2.2采购人拟采购的产品属于优先采购的节能环保品目清单范围的，按以下条件优先采购：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6.3.1商品包装、快递包装政府采购需求标准（试行）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6.3.2绿色数据中心政府采购需求标准（试行）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6.3.3绿色建材政府采购需求标准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rPr>
          <w:rFonts w:hint="eastAsia" w:ascii="宋体" w:hAnsi="宋体" w:eastAsia="宋体" w:cs="宋体"/>
          <w:highlight w:val="none"/>
        </w:rPr>
      </w:pPr>
      <w:r>
        <w:rPr>
          <w:rFonts w:hint="eastAsia" w:ascii="宋体" w:hAnsi="宋体" w:eastAsia="宋体" w:cs="宋体"/>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81"/>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7、招标文件的澄清</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pStyle w:val="781"/>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8、招标文件的修改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8.2在投标截止时间前，采购代理机构可以对招标文件进行修改。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8.3采购代理机构有权按照法定的要求推迟投标截止日期和开标日期。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780"/>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三、投标文件的编制</w:t>
      </w:r>
      <w:r/>
    </w:p>
    <w:p>
      <w:pPr>
        <w:pStyle w:val="781"/>
        <w:ind w:firstLine="56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9、投标文件的语言及度量衡单位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highlight w:val="none"/>
          <w14:textFill>
            <w14:solidFill>
              <w14:schemeClr w14:val="tx1"/>
            </w14:solidFill>
          </w14:textFill>
        </w:rPr>
        <w:t xml:space="preserve">简体中文</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10、投标文件构成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10.5 </w:t>
      </w:r>
      <w:r>
        <w:rPr>
          <w:rFonts w:hint="eastAsia" w:ascii="宋体" w:hAnsi="宋体" w:eastAsia="宋体" w:cs="宋体"/>
          <w:sz w:val="24"/>
          <w:highlight w:val="none"/>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11、证明投标人及投标标的符合招标文件规定的文件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12、投标分项报价表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ind w:firstLine="480"/>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6"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13、技术要求响应及偏离表、商务要求响应及偏离表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 xml:space="preserve">14、服务承诺、培训计划、人员安排及其他</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14.3 投标人需根据招标文件要求提供所投标的的主要组成部分、功能设计、实现思路及关键技术等。</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15、投标声明及承诺函和开标一览表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15.1投标人应按照招标文件中提供的格式完整、正确填写投标声明及承诺函、开标一览表。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sz w:val="24"/>
          <w:highlight w:val="none"/>
          <w14:textFill>
            <w14:solidFill>
              <w14:schemeClr w14:val="tx1"/>
            </w14:solidFill>
          </w14:textFill>
        </w:rPr>
        <w:t xml:space="preserve">。</w:t>
      </w:r>
      <w:bookmarkEnd w:id="46"/>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16、投标有效期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16.1投标有效期为开标之日后</w:t>
      </w:r>
      <w:r>
        <w:rPr>
          <w:rFonts w:hint="eastAsia" w:ascii="宋体" w:hAnsi="宋体" w:eastAsia="宋体" w:cs="宋体"/>
          <w:b/>
          <w:color w:val="000000" w:themeColor="text1"/>
          <w:sz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17、投标有效期的延长</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17.2中标人的投标文件作为项目合同的附件，其有效期至中标人全部合同义务履行完毕为止。 </w:t>
      </w:r>
      <w:r/>
    </w:p>
    <w:p>
      <w:pPr>
        <w:pStyle w:val="780"/>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四、投标文件的递交</w:t>
      </w:r>
      <w:r/>
    </w:p>
    <w:p>
      <w:pPr>
        <w:pStyle w:val="781"/>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18、投标文件的递交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宋体" w:hAnsi="宋体" w:eastAsia="宋体" w:cs="宋体"/>
          <w:color w:val="000000" w:themeColor="text1"/>
          <w:sz w:val="22"/>
          <w:highlight w:val="none"/>
          <w14:textFill>
            <w14:solidFill>
              <w14:schemeClr w14:val="tx1"/>
            </w14:solidFill>
          </w14:textFill>
        </w:rPr>
        <w:t xml:space="preserve">http://www.ccgp-jiangsu.gov.cn//webfile/jiangsu/202311/1699268553318052447.pdf）</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19、投标截止时间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19.2采购代理机构可以按照规定，通过修改招标文件酌情延长投标截止时间，在此情况下，投标人的所有权利和义务以及投标人受制的截止时间均应以延长后新的截止时间为准。</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20、投标文件的拒收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20.1采购代理机构拒绝接收在其规定的投标截止时间后上传的任何投标文件。</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21、投标文件的撤回和修改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 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21.1.1 电子投标文件的撤回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 投标文件的修改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21.2.2在投标截止时间之后，投标人不得对其电子投标文件作任何修改。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780"/>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五、开标与评标</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22、开标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23、评标委员会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23.3评委会独立工作，负责评审所有投标文件并确定中标侯选人。</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24、评标过程的保密与公正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25、投标文件的澄清</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评委会并非对每个投标人都做澄清要求。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26、对投标文件的初审</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26.1投标文件初审分为资格审查和符合性审查。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26.7投标人在开、评标全过程中应随时保持系统在线，及时在“苏采云”系统查阅、答复相关信息。</w:t>
      </w:r>
      <w:r/>
    </w:p>
    <w:p>
      <w:pPr>
        <w:pStyle w:val="781"/>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27、无效投标条款和废标条款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27.1无效投标条款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27.1.2 投标人未按照招标文件要求上传电子投标文件的。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27.1.4投标人不具备招标文件中规定资格要求的。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27.1.6未通过符合性审查的。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加斜体下划线内容或打“★”内容为实质性要求和条件）。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27.1.9 投标文件含有采购人不能接受的附加条件的。</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27.1.12 投标文件未按照招标文件要求加盖CA电子公章的。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其他法律、法规及本招标文件规定的属无效投标的。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27.2废标条款</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27.2.2出现影响采购公正的违法、违规行为的。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27.2.3因重大变故，采购任务取消的。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27.2.5 因“苏采云”系统系统故障原因造成开标不成功的。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pStyle w:val="780"/>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六、定标</w:t>
      </w:r>
      <w:r/>
    </w:p>
    <w:p>
      <w:pPr>
        <w:pStyle w:val="781"/>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28、确定中标单位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28.2 按以下第</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种方式确定中标人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（1）评委会直接确定排名第一的中标候选人为中标人；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（2）采购人在评委会推荐的中标候选人中按顺序确定中标人。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28.4.1提供虚假材料谋取中标的。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28.4.4与采购人或者其他投标人恶意串通的。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28.4.5采取不正当手段诋毁、排挤其他投标人的。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 有下列情形之一的，视为投标人串通投标，投标无效：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28.5.1不同投标人的投标文件由同一单位或者个人编制。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28.5.2不同投标人委托同一单位或者个人办理投标事宜。</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28.5.3不同投标人的投标文件载明的项目管理成员或者联系人员为同一人。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28.5.4不同投标人的投标文件异常一致或者投标报价呈规律性差异。</w:t>
      </w:r>
      <w:r/>
    </w:p>
    <w:p>
      <w:pPr>
        <w:pStyle w:val="781"/>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29、质疑处理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29.2.2对采购过程提出质疑的，为各采购程序环节结束之日；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29.4投标人应以书面形式向采购人或者其委托的采购代理机构提出质疑。质疑超出采购机构代理范围的，投标人应当向采购人提出。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接收质疑函的方式：现场接收或邮寄接收。</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联系部门：</w:t>
      </w:r>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w:t>
      </w:r>
      <w:r>
        <w:rPr>
          <w:rFonts w:hint="eastAsia" w:ascii="宋体" w:hAnsi="宋体" w:eastAsia="宋体" w:cs="宋体"/>
          <w:color w:val="000000" w:themeColor="text1"/>
          <w:sz w:val="24"/>
          <w:highlight w:val="none"/>
          <w14:textFill>
            <w14:solidFill>
              <w14:schemeClr w14:val="tx1"/>
            </w14:solidFill>
          </w14:textFill>
        </w:rPr>
        <w:t xml:space="preserve">/江苏襄盛工程咨询有限公司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rPr>
          <w:rFonts w:hint="eastAsia" w:ascii="宋体" w:hAnsi="宋体" w:eastAsia="宋体" w:cs="宋体"/>
          <w:color w:val="000000" w:themeColor="text1"/>
          <w:sz w:val="24"/>
          <w:highlight w:val="none"/>
          <w14:textFill>
            <w14:solidFill>
              <w14:schemeClr w14:val="tx1"/>
            </w14:solidFill>
          </w14:textFill>
        </w:rPr>
        <w:t xml:space="preserve">/19825846139</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泗洪县大楼街道仁和路1号</w:t>
      </w:r>
      <w:r>
        <w:rPr>
          <w:rFonts w:hint="eastAsia" w:ascii="宋体" w:hAnsi="宋体" w:eastAsia="宋体" w:cs="宋体"/>
          <w:color w:val="000000" w:themeColor="text1"/>
          <w:sz w:val="24"/>
          <w:highlight w:val="none"/>
          <w14:textFill>
            <w14:solidFill>
              <w14:schemeClr w14:val="tx1"/>
            </w14:solidFill>
          </w14:textFill>
        </w:rPr>
        <w:t xml:space="preserve">/泗洪县洪泽湖大街中央公馆63-202室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 以下情形的质疑不予受理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29.5.2 超出政府采购法定期限的质疑。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29.7 质疑供应商对采购人、采购代理机构的答复不满意，或者采购人、采购代理机构未在规定时间内作出答复的，可以在答复期满后15个工作日内向同级财政部门提起投诉。</w:t>
      </w:r>
      <w:r/>
    </w:p>
    <w:p>
      <w:pPr>
        <w:pStyle w:val="781"/>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30、中标通知书</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78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七、授予合同</w:t>
      </w:r>
      <w:r/>
    </w:p>
    <w:p>
      <w:pPr>
        <w:pStyle w:val="781"/>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31. 签订合同</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31.4本项目的非主体、非关键性工作是否允许分包按以下第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种方式确定：</w:t>
      </w:r>
      <w:r/>
    </w:p>
    <w:p>
      <w:pPr>
        <w:ind w:firstLine="600"/>
        <w:spacing w:line="559"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47" w:name="OLE_LINK62"/>
      <w:r>
        <w:rPr>
          <w:rFonts w:hint="eastAsia" w:ascii="宋体" w:hAnsi="宋体" w:cs="宋体"/>
          <w:sz w:val="24"/>
          <w:highlight w:val="none"/>
        </w:rPr>
        <w:t xml:space="preserve">1、允许分包。本项目为合同分包形式预留份额采购项目，预留采购项目金额的40%专门面向中小微企业采购，投标人为大型企业的应当与中小微企业签订合同分包协议，合同中中小微企业的承担项目金额比例不低于40%。</w:t>
      </w:r>
      <w:r/>
    </w:p>
    <w:p>
      <w:pPr>
        <w:ind w:firstLine="600"/>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31.4履约保证金</w:t>
      </w:r>
      <w:bookmarkEnd w:id="47"/>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方式确定履约保证收取方式。</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(1)不收取履约保证金。</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(2)本项目收取履约保证金。履约保证金应在采购合同签订前提交，履约保证金的金额:按采购合同总价的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备注：</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000000" w:themeColor="text1"/>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c.采用数字人民币方式缴纳的，使用投标企业数字人民币对公钱包一次性转钱至泗洪县公共资源交易中心数字人民币</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钱包</w:t>
      </w:r>
      <w:r>
        <w:rPr>
          <w:rFonts w:hint="eastAsia" w:ascii="宋体" w:hAnsi="宋体" w:eastAsia="宋体" w:cs="宋体"/>
          <w:color w:val="000000" w:themeColor="text1"/>
          <w:sz w:val="24"/>
          <w:highlight w:val="none"/>
          <w14:textFill>
            <w14:solidFill>
              <w14:schemeClr w14:val="tx1"/>
            </w14:solidFill>
          </w14:textFill>
        </w:rPr>
        <w:t xml:space="preserve">（钱包ID：0092118799300008，运营机构：中国交通银行股份有限公司）</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，并备注为：</w:t>
      </w:r>
      <w:r>
        <w:rPr>
          <w:rFonts w:hint="eastAsia" w:ascii="宋体" w:hAnsi="宋体" w:cs="宋体"/>
          <w:color w:val="000000" w:themeColor="text1"/>
          <w:sz w:val="24"/>
          <w:highlight w:val="none"/>
          <w:u w:val="singl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履约保证金；</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d.采用银行保函、担保公司的保证担保或保险公司的保证保险形式缴纳履约保证金的，以银行保函、担保公司的保证担保或保险公司的保证保险等形式提交履约保证金的，</w:t>
      </w:r>
      <w:bookmarkStart w:id="48" w:name="OLE_LINK39"/>
      <w:r>
        <w:rPr>
          <w:rFonts w:hint="eastAsia" w:ascii="宋体" w:hAnsi="宋体" w:eastAsia="宋体" w:cs="宋体"/>
          <w:color w:val="000000" w:themeColor="text1"/>
          <w:sz w:val="24"/>
          <w:highlight w:val="none"/>
          <w:lang w:val="zh-CN" w:eastAsia="zh-CN"/>
          <w14:textFill>
            <w14:solidFill>
              <w14:schemeClr w14:val="tx1"/>
            </w14:solidFill>
          </w14:textFill>
        </w:rPr>
        <w:t xml:space="preserve">其有效期应包括本项目供货工期的范围。以保函、担保、保险形式提交的履约保证金递交至当地公共资源交易中心。</w:t>
      </w:r>
      <w:bookmarkEnd w:id="48"/>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履约保证金缴退咨询电话：0527-89889051；</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履约保证金退还的条件：按以下方式实行：</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具体操作流程见相关网页</w:t>
      </w:r>
      <w:r/>
    </w:p>
    <w:p>
      <w:pPr>
        <w:ind w:firstLine="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http://czt.jiangsu.gov.cn/art/2023/12/15/art_84851_11100104.html。</w:t>
      </w:r>
      <w:r/>
    </w:p>
    <w:p>
      <w:pPr>
        <w:ind w:firstLine="480"/>
        <w:spacing w:line="559" w:lineRule="atLeast"/>
        <w:shd w:val="clear" w:color="auto"/>
        <w:rPr>
          <w:rFonts w:hint="eastAsia" w:ascii="宋体" w:hAnsi="宋体" w:eastAsia="宋体" w:cs="宋体"/>
          <w:b/>
          <w:bCs/>
          <w:color w:val="000000" w:themeColor="text1"/>
          <w:sz w:val="30"/>
          <w:szCs w:val="2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26"/>
          <w:highlight w:val="none"/>
          <w14:textFill>
            <w14:solidFill>
              <w14:schemeClr w14:val="tx1"/>
            </w14:solidFill>
          </w14:textFill>
        </w:rPr>
        <w:t xml:space="preserve">32、货物（包含与货物相关的服务）的追加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1"/>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33、政府采购履约资金扶持政策</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w:t>
      </w:r>
      <w:r>
        <w:rPr>
          <w:rFonts w:hint="eastAsia" w:ascii="宋体" w:hAnsi="宋体" w:eastAsia="宋体" w:cs="宋体"/>
          <w:color w:val="000000" w:themeColor="text1"/>
          <w:sz w:val="24"/>
          <w:highlight w:val="none"/>
          <w14:textFill>
            <w14:solidFill>
              <w14:schemeClr w14:val="tx1"/>
            </w14:solidFill>
          </w14:textFill>
        </w:rPr>
        <w:t xml:space="preserve">据《关于转发江苏省财政厅、中国人民银行南京分行&lt;关于深入推进政府采购线上合同信用融资工作的通知&gt;的通知》（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苏</w:t>
      </w:r>
      <w:r>
        <w:rPr>
          <w:rFonts w:hint="eastAsia" w:ascii="宋体" w:hAnsi="宋体" w:eastAsia="宋体" w:cs="宋体"/>
          <w:color w:val="000000" w:themeColor="text1"/>
          <w:sz w:val="24"/>
          <w:highlight w:val="none"/>
          <w14:textFill>
            <w14:solidFill>
              <w14:schemeClr w14:val="tx1"/>
            </w14:solidFill>
          </w14:textFill>
        </w:rPr>
        <w:t xml:space="preserve">财购〔2021〕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highlight w:val="none"/>
          <w14:textFill>
            <w14:solidFill>
              <w14:schemeClr w14:val="tx1"/>
            </w14:solidFill>
          </w14:textFill>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60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34、验收</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14:textFill>
            <w14:solidFill>
              <w14:schemeClr w14:val="tx1"/>
            </w14:solidFill>
          </w14:textFill>
        </w:rPr>
        <w:t xml:space="preserve">付款</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按照招标文件和合同约定的付款方式，采购人及时办理付款手续</w:t>
      </w:r>
      <w:r>
        <w:rPr>
          <w:rFonts w:hint="eastAsia" w:ascii="宋体" w:hAnsi="宋体" w:cs="宋体"/>
          <w:color w:val="000000" w:themeColor="text1"/>
          <w:sz w:val="24"/>
          <w:highlight w:val="none"/>
          <w:lang w:eastAsia="zh-CN"/>
          <w14:textFill>
            <w14:solidFill>
              <w14:schemeClr w14:val="tx1"/>
            </w14:solidFill>
          </w14:textFill>
        </w:rPr>
        <w:t xml:space="preserve">。</w:t>
      </w:r>
      <w:r/>
    </w:p>
    <w:p>
      <w:pPr>
        <w:shd w:val="clear" w:color="auto"/>
        <w:rPr>
          <w:rFonts w:hint="eastAsia"/>
          <w:highlight w:val="none"/>
        </w:rPr>
      </w:pPr>
      <w:r/>
      <w:bookmarkStart w:id="49" w:name="_Toc14096"/>
      <w:r/>
      <w:bookmarkEnd w:id="49"/>
      <w:r/>
      <w:r/>
    </w:p>
    <w:p>
      <w:pPr>
        <w:pStyle w:val="778"/>
        <w:numPr>
          <w:ilvl w:val="0"/>
          <w:numId w:val="5"/>
        </w:numPr>
        <w:jc w:val="center"/>
        <w:shd w:val="clear" w:color="auto"/>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合同格式及条款</w:t>
      </w:r>
      <w:bookmarkStart w:id="50" w:name="_Toc32297"/>
      <w:r/>
      <w:bookmarkStart w:id="51" w:name="_Toc33210310"/>
      <w:r/>
      <w:bookmarkStart w:id="52" w:name="_Toc41839052"/>
      <w:r/>
      <w:bookmarkStart w:id="53" w:name="_Toc36367597"/>
      <w:r/>
      <w:bookmarkStart w:id="54" w:name="_Toc18821"/>
      <w:r/>
      <w:bookmarkStart w:id="55" w:name="_Toc35639499"/>
      <w:r/>
      <w:bookmarkStart w:id="56" w:name="_Toc24135497"/>
      <w:r/>
      <w:bookmarkStart w:id="57" w:name="_Toc63173425"/>
      <w:r/>
      <w:bookmarkStart w:id="58" w:name="_Toc6201"/>
      <w:r/>
      <w:bookmarkStart w:id="59" w:name="_Toc33210384"/>
      <w:r/>
      <w:bookmarkStart w:id="60" w:name="_Toc14190"/>
      <w:r/>
      <w:bookmarkStart w:id="61" w:name="_Toc38295338"/>
      <w:r/>
      <w:bookmarkStart w:id="62" w:name="_Toc62218832"/>
      <w:r/>
      <w:bookmarkStart w:id="63" w:name="_Toc56847814"/>
      <w:r/>
      <w:bookmarkStart w:id="64" w:name="_Toc45564931"/>
      <w:r>
        <w:rPr>
          <w:rFonts w:hint="eastAsia" w:ascii="宋体" w:hAnsi="宋体" w:eastAsia="宋体" w:cs="宋体"/>
          <w:b/>
          <w:sz w:val="44"/>
          <w:szCs w:val="44"/>
          <w:highlight w:val="none"/>
        </w:rPr>
        <w:t xml:space="preserve">（草案）</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778"/>
        <w:jc w:val="center"/>
        <w:keepLines w:val="0"/>
        <w:spacing w:before="0" w:after="0"/>
        <w:shd w:val="clear" w:color="auto"/>
        <w:rPr>
          <w:rFonts w:hint="eastAsia" w:ascii="宋体" w:hAnsi="宋体" w:eastAsia="宋体" w:cs="宋体"/>
          <w:b/>
          <w:color w:val="auto"/>
          <w:sz w:val="44"/>
          <w:szCs w:val="28"/>
          <w:highlight w:val="none"/>
        </w:rPr>
      </w:pPr>
      <w:r/>
      <w:bookmarkStart w:id="65" w:name="_Toc23332"/>
      <w:r/>
      <w:r/>
    </w:p>
    <w:p>
      <w:pPr>
        <w:pStyle w:val="778"/>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78"/>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bookmarkEnd w:id="65"/>
      <w:r/>
      <w:r/>
    </w:p>
    <w:p>
      <w:pPr>
        <w:pStyle w:val="793"/>
        <w:jc w:val="center"/>
        <w:spacing w:line="240" w:lineRule="atLeast"/>
        <w:shd w:val="clear" w:color="auto"/>
        <w:rPr>
          <w:rFonts w:hint="eastAsia" w:ascii="宋体" w:hAnsi="宋体" w:eastAsia="宋体" w:cs="宋体"/>
          <w:b/>
          <w:bCs/>
          <w:color w:val="000000" w:themeColor="text1"/>
          <w:spacing w:val="-20"/>
          <w:sz w:val="48"/>
          <w:szCs w:val="48"/>
          <w:highlight w:val="none"/>
          <w14:textFill>
            <w14:solidFill>
              <w14:schemeClr w14:val="tx1"/>
            </w14:solidFill>
          </w14:textFill>
        </w:rPr>
      </w:pPr>
      <w:r/>
      <w:bookmarkStart w:id="66" w:name="_Toc15300"/>
      <w:r>
        <w:rPr>
          <w:rFonts w:hint="eastAsia" w:ascii="宋体" w:hAnsi="宋体" w:eastAsia="宋体" w:cs="宋体"/>
          <w:b/>
          <w:bCs/>
          <w:color w:val="000000" w:themeColor="text1"/>
          <w:spacing w:val="-20"/>
          <w:sz w:val="48"/>
          <w:szCs w:val="48"/>
          <w:highlight w:val="none"/>
          <w14:textFill>
            <w14:solidFill>
              <w14:schemeClr w14:val="tx1"/>
            </w14:solidFill>
          </w14:textFill>
        </w:rPr>
        <w:t xml:space="preserve">政府采购货物买卖合同</w:t>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t xml:space="preserve">    </w:t>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合同编号：</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甲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乙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签订时间：</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使 用 说 明</w:t>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shd w:val="clear" w:color="auto"/>
        <w:rPr>
          <w:rFonts w:hint="eastAsia" w:ascii="宋体" w:hAnsi="宋体" w:cs="宋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pStyle w:val="779"/>
        <w:jc w:val="center"/>
        <w:spacing w:line="400" w:lineRule="exact"/>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7" w:name="_Toc22209"/>
      <w:r>
        <w:rPr>
          <w:rFonts w:hint="eastAsia" w:ascii="宋体" w:hAnsi="宋体" w:eastAsia="宋体" w:cs="宋体"/>
          <w:b/>
          <w:bCs/>
          <w:color w:val="000000" w:themeColor="text1"/>
          <w:sz w:val="28"/>
          <w:szCs w:val="28"/>
          <w:highlight w:val="none"/>
          <w14:textFill>
            <w14:solidFill>
              <w14:schemeClr w14:val="tx1"/>
            </w14:solidFill>
          </w14:textFill>
        </w:rPr>
        <w:t xml:space="preserve">第一节 政府采购合同协议书</w:t>
      </w:r>
      <w:bookmarkEnd w:id="67"/>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（采购人、受采购人委托签订合同的单位或采购文件约定的合同甲方）</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乙方1（全称）：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乙方2（全称）：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乙方3（全称）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94"/>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color w:val="000000" w:themeColor="text1"/>
          <w:highlight w:val="non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项目信息</w:t>
      </w:r>
      <w:r/>
    </w:p>
    <w:p>
      <w:pPr>
        <w:pStyle w:val="794"/>
        <w:numPr>
          <w:ilvl w:val="0"/>
          <w:numId w:val="7"/>
        </w:numPr>
        <w:ind w:firstLine="420"/>
        <w:spacing w:line="400" w:lineRule="exact"/>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采购项目名称：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94"/>
        <w:ind w:firstLine="0"/>
        <w:spacing w:line="400" w:lineRule="exact"/>
        <w:shd w:val="clear" w:color="auto"/>
        <w:tabs>
          <w:tab w:val="left" w:pos="999"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采购项目编号：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94"/>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（2）采购计划编号：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（3）项目内容：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采购标的及数量（台/套</w:t>
      </w:r>
      <w:r>
        <w:rPr>
          <w:rFonts w:hint="eastAsia" w:ascii="宋体" w:hAnsi="宋体" w:cs="宋体"/>
          <w:color w:val="000000" w:themeColor="text1"/>
          <w:highlight w:val="none"/>
          <w:lang w:val="en"/>
          <w14:textFill>
            <w14:solidFill>
              <w14:schemeClr w14:val="tx1"/>
            </w14:solidFill>
          </w14:textFill>
        </w:rPr>
        <w:t xml:space="preserve">/个/架/组等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lang w:val="e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p>
    <w:p>
      <w:pPr>
        <w:ind w:firstLine="945"/>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采购标的的技术要求、商务要求具体见附件。</w:t>
      </w:r>
      <w:r/>
    </w:p>
    <w:p>
      <w:pPr>
        <w:ind w:firstLine="945"/>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①涉及信息类产品，请填写该产品关键部件的品牌、型号：</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标的名称：</w:t>
      </w:r>
      <w:r>
        <w:rPr>
          <w:rFonts w:hint="eastAsia" w:ascii="宋体" w:hAnsi="宋体" w:cs="宋体"/>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②涉及车辆采购，请填写是否属于新能源汽车：</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否</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lang w:val="en"/>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888"/>
        <w:ind w:firstLine="420"/>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888"/>
        <w:ind w:firstLine="2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若本项目不专门面向中小企业采购，是否给予小微企业评审优惠：□</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）合同是否分包：</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分包主要内容：</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分包供应商/制造商名称（如供应商和制造商不同，请分别填写）：</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大型企业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中型企业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小微型企业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残疾人福利性单位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监狱企业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pStyle w:val="888"/>
        <w:ind w:firstLine="420"/>
        <w:shd w:val="clear" w:color="auto"/>
        <w:tabs>
          <w:tab w:val="left" w:pos="1340" w:leader="none"/>
        </w:tabs>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）是否涉及进口产品：</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是，《政府采购品目分类目录》底级品目名称：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金额：</w:t>
      </w:r>
      <w:r>
        <w:rPr>
          <w:rFonts w:hint="eastAsia" w:ascii="宋体" w:hAnsi="宋体" w:cs="宋体"/>
          <w:color w:val="000000" w:themeColor="text1"/>
          <w:highlight w:val="none"/>
          <w:u w:val="singl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国别：</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）是否涉及节能产品：</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是否涉及环境标志产品：</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88"/>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是否涉及绿色产品： </w:t>
      </w:r>
      <w:r/>
    </w:p>
    <w:p>
      <w:pPr>
        <w:pStyle w:val="888"/>
        <w:ind w:firstLine="420"/>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不涉及</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合同金额</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（1）合同金额小写：</w:t>
      </w:r>
      <w:r>
        <w:rPr>
          <w:rFonts w:hint="eastAsia" w:ascii="宋体" w:hAnsi="宋体" w:cs="宋体"/>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分包金额（如有）小写：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（注：固定单价合同应填写单价和最高限价）</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（2）合同定价方式（采用组合定价方式的，可以勾选多项）：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固定总价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固定单价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固定费率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成本补偿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绩效激励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rPr>
          <w:rFonts w:hint="eastAsia" w:ascii="宋体" w:hAnsi="宋体" w:cs="宋体"/>
          <w:color w:val="000000" w:themeColor="text1"/>
          <w:highlight w:val="none"/>
          <w:u w:val="single"/>
          <w14:textFill>
            <w14:solidFill>
              <w14:schemeClr w14:val="tx1"/>
            </w14:solidFill>
          </w14:textFill>
        </w:rPr>
        <w:t xml:space="preserve">       </w:t>
      </w:r>
      <w:r/>
    </w:p>
    <w:p>
      <w:pPr>
        <w:pStyle w:val="1108"/>
        <w:spacing w:line="400" w:lineRule="exact"/>
        <w:shd w:val="clear" w:color="auto"/>
        <w:rPr>
          <w:rFonts w:hint="eastAsia" w:ascii="宋体" w:hAnsi="宋体" w:cs="宋体"/>
          <w:color w:val="000000" w:themeColor="text1"/>
          <w:sz w:val="21"/>
          <w:szCs w:val="21"/>
          <w:highlight w:val="none"/>
          <w:lang w:eastAsia="zh-CN" w:bidi="ar-SA"/>
          <w14:textFill>
            <w14:solidFill>
              <w14:schemeClr w14:val="tx1"/>
            </w14:solidFill>
          </w14:textFill>
        </w:rPr>
      </w:pPr>
      <w:r>
        <w:rPr>
          <w:rFonts w:hint="eastAsia" w:ascii="宋体" w:hAnsi="宋体" w:cs="宋体"/>
          <w:color w:val="000000" w:themeColor="text1"/>
          <w:sz w:val="21"/>
          <w:szCs w:val="21"/>
          <w:highlight w:val="none"/>
          <w:lang w:eastAsia="zh-CN" w:bidi="ar-SA"/>
          <w14:textFill>
            <w14:solidFill>
              <w14:schemeClr w14:val="tx1"/>
            </w14:solidFill>
          </w14:textFill>
        </w:rPr>
        <w:t xml:space="preserve">（3）付款方式（按项目实际勾选填写）：</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全额付款：</w:t>
      </w:r>
      <w:r>
        <w:rPr>
          <w:rFonts w:hint="eastAsia" w:ascii="宋体" w:hAnsi="宋体" w:cs="宋体"/>
          <w:color w:val="000000" w:themeColor="text1"/>
          <w:highlight w:val="none"/>
          <w:u w:val="single"/>
          <w14:textFill>
            <w14:solidFill>
              <w14:schemeClr w14:val="tx1"/>
            </w14:solidFill>
          </w14:textFill>
        </w:rPr>
        <w:t xml:space="preserve"> （应明确一次性支付合同款项的条件）                    </w:t>
      </w:r>
      <w:r/>
    </w:p>
    <w:p>
      <w:pPr>
        <w:ind w:firstLine="428"/>
        <w:spacing w:line="499" w:lineRule="atLeast"/>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分期付款：</w:t>
      </w:r>
      <w:r/>
    </w:p>
    <w:p>
      <w:pPr>
        <w:ind w:firstLine="690"/>
        <w:spacing w:before="0" w:after="0" w:line="559" w:lineRule="atLeast"/>
        <w:shd w:val="clear" w:color="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en-US" w:eastAsia="zh-CN"/>
        </w:rPr>
        <w:t xml:space="preserve">预付款：</w:t>
      </w:r>
      <w:r>
        <w:rPr>
          <w:rFonts w:ascii="宋体" w:hAnsi="宋体" w:eastAsia="宋体" w:cs="宋体"/>
          <w:highlight w:val="none"/>
          <w:u w:val="single"/>
        </w:rPr>
        <w:t xml:space="preserve">签订合同并收到供应商发票后10个工作日内支付合同总价款的30%；</w:t>
      </w:r>
      <w:r/>
    </w:p>
    <w:p>
      <w:pPr>
        <w:ind w:firstLine="630"/>
        <w:spacing w:before="0" w:line="400" w:lineRule="exact"/>
        <w:shd w:val="clear" w:color="auto"/>
        <w:rPr>
          <w:rFonts w:hint="eastAsia" w:ascii="宋体" w:hAnsi="宋体" w:eastAsia="宋体" w:cs="宋体"/>
          <w:color w:val="auto"/>
          <w:szCs w:val="21"/>
          <w:highlight w:val="none"/>
          <w:u w:val="single"/>
          <w:lang w:val="zh-CN" w:eastAsia="zh-CN"/>
        </w:rPr>
      </w:pPr>
      <w:r>
        <w:rPr>
          <w:rFonts w:hint="eastAsia" w:ascii="宋体" w:hAnsi="宋体" w:eastAsia="宋体" w:cs="宋体"/>
          <w:color w:val="auto"/>
          <w:szCs w:val="21"/>
          <w:highlight w:val="none"/>
          <w:lang w:val="en-US" w:eastAsia="zh-CN"/>
        </w:rPr>
        <w:t xml:space="preserve">进度款：</w:t>
      </w:r>
      <w:r>
        <w:rPr>
          <w:rFonts w:ascii="宋体" w:hAnsi="宋体" w:eastAsia="宋体" w:cs="宋体"/>
          <w:highlight w:val="none"/>
          <w:u w:val="single"/>
        </w:rPr>
        <w:t xml:space="preserve">项目完成，供应商提供项目完整技术文档，采购人3个工作日内组织验收并出具验收报告，验收完成收到供应商发票后10个工作日内，支付至合同总价款的100%</w:t>
      </w:r>
      <w:r>
        <w:rPr>
          <w:rFonts w:hint="eastAsia" w:ascii="宋体" w:hAnsi="宋体" w:eastAsia="宋体" w:cs="宋体"/>
          <w:highlight w:val="none"/>
          <w:u w:val="single"/>
          <w:lang w:eastAsia="zh-CN"/>
        </w:rPr>
        <w:t xml:space="preserve">。</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(1)可以采用数字人民币支付。</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(2)资金支付的时间:收到供应商发票后10个工作日内。</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(3)资金支付的条件:满足相应阶段的要求且收到供应商发票。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(4)当采购数量与实际使用数量不一致时，供应商应根据实际使用量供货，合同的最终结算金额按实际使用量乘以中标单价进行计算。</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(5)在签订合同时，供应商明确表示无需预付款或者主动要求降低预付款比例的，采购人可不适用前述规定。</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成本补偿：</w:t>
      </w:r>
      <w:r>
        <w:rPr>
          <w:rFonts w:hint="eastAsia" w:ascii="宋体" w:hAnsi="宋体" w:cs="宋体"/>
          <w:color w:val="000000" w:themeColor="text1"/>
          <w:highlight w:val="none"/>
          <w:u w:val="single"/>
          <w14:textFill>
            <w14:solidFill>
              <w14:schemeClr w14:val="tx1"/>
            </w14:solidFill>
          </w14:textFill>
        </w:rPr>
        <w:t xml:space="preserve">（应明确按照成本补偿方式的支付方式和支付条件）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绩效激励：</w:t>
      </w:r>
      <w:r>
        <w:rPr>
          <w:rFonts w:hint="eastAsia" w:ascii="宋体" w:hAnsi="宋体" w:cs="宋体"/>
          <w:color w:val="000000" w:themeColor="text1"/>
          <w:highlight w:val="none"/>
          <w:u w:val="single"/>
          <w14:textFill>
            <w14:solidFill>
              <w14:schemeClr w14:val="tx1"/>
            </w14:solidFill>
          </w14:textFill>
        </w:rPr>
        <w:t xml:space="preserve">（应明确按照绩效激励方式的支付方式和支付条件）   </w:t>
      </w:r>
      <w:r/>
    </w:p>
    <w:p>
      <w:pPr>
        <w:numPr>
          <w:ilvl w:val="0"/>
          <w:numId w:val="6"/>
        </w:numPr>
        <w:ind w:firstLine="422"/>
        <w:spacing w:line="400" w:lineRule="exact"/>
        <w:shd w:val="clear" w:color="auto"/>
        <w:rPr>
          <w:rFonts w:hint="eastAsia" w:ascii="宋体" w:hAnsi="宋体" w:cs="宋体"/>
          <w:b/>
          <w:color w:val="000000" w:themeColor="text1"/>
          <w:highlight w:val="none"/>
          <w:u w:val="singl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合同履行</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（1）起始日期：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日，完成日期：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（2）履约地点</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采购人指定地点 </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江苏政府采购电子履约保函；</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88"/>
        <w:ind w:firstLine="420"/>
        <w:shd w:val="clear" w:color="auto"/>
        <w:rPr>
          <w:rFonts w:hint="eastAsia" w:ascii="宋体" w:hAnsi="宋体" w:eastAsia="宋体" w:cs="宋体"/>
          <w:bCs/>
          <w:color w:val="000000" w:themeColor="text1"/>
          <w:sz w:val="21"/>
          <w:highlight w:val="none"/>
          <w:u w:val="single"/>
          <w:lang w:val="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收取履约保证金金额：</w:t>
      </w:r>
      <w:r>
        <w:rPr>
          <w:rFonts w:hint="eastAsia" w:ascii="宋体" w:hAnsi="宋体" w:eastAsia="宋体" w:cs="宋体"/>
          <w:bCs/>
          <w:color w:val="000000" w:themeColor="text1"/>
          <w:sz w:val="21"/>
          <w:highlight w:val="none"/>
          <w:u w:val="single"/>
          <w:lang w:val="zh-CN"/>
          <w14:textFill>
            <w14:solidFill>
              <w14:schemeClr w14:val="tx1"/>
            </w14:solidFill>
          </w14:textFill>
        </w:rPr>
        <w:t xml:space="preserve">按采购合同总价的 2%（使用江苏政府采购电子履约保函(保险)代替缴纳履约保证金，按采购合同总价的1.2%)计取。</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履约担保期限：</w:t>
      </w:r>
      <w:r>
        <w:rPr>
          <w:rFonts w:hint="eastAsia" w:ascii="宋体" w:hAnsi="宋体" w:cs="宋体"/>
          <w:bCs/>
          <w:color w:val="000000" w:themeColor="text1"/>
          <w:highlight w:val="none"/>
          <w:u w:val="single"/>
          <w14:textFill>
            <w14:solidFill>
              <w14:schemeClr w14:val="tx1"/>
            </w14:solidFill>
          </w14:textFill>
        </w:rPr>
        <w:t xml:space="preserve">履约验收合格为止。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（4）分期履行要求：</w:t>
      </w:r>
      <w:r>
        <w:rPr>
          <w:rFonts w:hint="eastAsia" w:ascii="宋体" w:hAnsi="宋体" w:cs="宋体"/>
          <w:bCs/>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（5）风险处置措施和替代方案：</w:t>
      </w:r>
      <w:r>
        <w:rPr>
          <w:rFonts w:hint="eastAsia" w:ascii="宋体" w:hAnsi="宋体" w:cs="宋体"/>
          <w:color w:val="000000" w:themeColor="text1"/>
          <w:highlight w:val="none"/>
          <w:u w:val="single"/>
          <w14:textFill>
            <w14:solidFill>
              <w14:schemeClr w14:val="tx1"/>
            </w14:solidFill>
          </w14:textFill>
        </w:rPr>
        <w:t xml:space="preserve">  /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合同验收</w:t>
      </w:r>
      <w:r/>
    </w:p>
    <w:p>
      <w:pPr>
        <w:numPr>
          <w:ilvl w:val="0"/>
          <w:numId w:val="8"/>
        </w:num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验收组织方式：</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自行组织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委托第三方组织</w:t>
      </w:r>
      <w:r/>
    </w:p>
    <w:p>
      <w:pPr>
        <w:spacing w:line="400" w:lineRule="exact"/>
        <w:shd w:val="clear" w:color="auto"/>
        <w:rPr>
          <w:rFonts w:hint="eastAsia" w:ascii="宋体" w:hAnsi="宋体" w:eastAsia="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验收主体：</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bCs/>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是否邀请专家参加验收：</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是否邀请服务对象参加验收：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是否进行抽查检测：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是，抽查比例：</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是否存在破坏性检测：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w:t>
      </w:r>
      <w:r>
        <w:rPr>
          <w:rFonts w:hint="eastAsia" w:ascii="宋体" w:hAnsi="宋体" w:cs="宋体"/>
          <w:bCs/>
          <w:color w:val="000000" w:themeColor="text1"/>
          <w:highlight w:val="none"/>
          <w:u w:val="single"/>
          <w14:textFill>
            <w14:solidFill>
              <w14:schemeClr w14:val="tx1"/>
            </w14:solidFill>
          </w14:textFill>
        </w:rPr>
        <w:t xml:space="preserve">（应明确对被破坏的检测产品的处理方式）</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验收组织的其他事项：</w:t>
      </w:r>
      <w:r>
        <w:rPr>
          <w:rFonts w:hint="eastAsia" w:ascii="宋体" w:hAnsi="宋体" w:cs="宋体"/>
          <w:bCs/>
          <w:color w:val="000000" w:themeColor="text1"/>
          <w:highlight w:val="none"/>
          <w:u w:val="single"/>
          <w14:textFill>
            <w14:solidFill>
              <w14:schemeClr w14:val="tx1"/>
            </w14:solidFill>
          </w14:textFill>
        </w:rPr>
        <w:t xml:space="preserve"> 无 。</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（2）履约验收时间：</w:t>
      </w:r>
      <w:r>
        <w:rPr>
          <w:rFonts w:hint="eastAsia" w:ascii="宋体" w:hAnsi="宋体" w:cs="宋体"/>
          <w:bCs/>
          <w:color w:val="000000" w:themeColor="text1"/>
          <w:highlight w:val="none"/>
          <w:u w:val="single"/>
          <w14:textFill>
            <w14:solidFill>
              <w14:schemeClr w14:val="tx1"/>
            </w14:solidFill>
          </w14:textFill>
        </w:rPr>
        <w:t xml:space="preserve">（供应商提出验收申请之日起3个工作日内组织验收）</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（3）履约验收方式：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一次性验收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分期/分项验收：</w:t>
      </w:r>
      <w:r>
        <w:rPr>
          <w:rFonts w:hint="eastAsia" w:ascii="宋体" w:hAnsi="宋体" w:cs="宋体"/>
          <w:bCs/>
          <w:color w:val="000000" w:themeColor="text1"/>
          <w:highlight w:val="none"/>
          <w:u w:val="single"/>
          <w14:textFill>
            <w14:solidFill>
              <w14:schemeClr w14:val="tx1"/>
            </w14:solidFill>
          </w14:textFill>
        </w:rPr>
        <w:t xml:space="preserve"> （应明确分期</w:t>
      </w:r>
      <w:r>
        <w:rPr>
          <w:rFonts w:hint="eastAsia" w:ascii="宋体" w:hAnsi="宋体" w:cs="宋体"/>
          <w:bCs/>
          <w:color w:val="000000" w:themeColor="text1"/>
          <w:highlight w:val="none"/>
          <w:u w:val="single"/>
          <w:lang w:val="en"/>
          <w14:textFill>
            <w14:solidFill>
              <w14:schemeClr w14:val="tx1"/>
            </w14:solidFill>
          </w14:textFill>
        </w:rPr>
        <w:t xml:space="preserve">/分项验收的工作安排</w:t>
      </w:r>
      <w:r>
        <w:rPr>
          <w:rFonts w:hint="eastAsia" w:ascii="宋体" w:hAnsi="宋体" w:cs="宋体"/>
          <w:bCs/>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（4）履约验收程序：</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（一）归集验收依据。实施验收前，甲方应当将采购合同、采购文件、供应商响应文件等验收依据进行归集。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验收结束后，甲方应当出具验收书，列明各项标准的验收情况及项目总体评价，由合同当事人双方共同签署。</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（5）履约验收的内容：</w:t>
      </w:r>
      <w:r>
        <w:rPr>
          <w:rFonts w:hint="eastAsia" w:ascii="宋体" w:hAnsi="宋体" w:cs="宋体"/>
          <w:bCs/>
          <w:color w:val="000000" w:themeColor="text1"/>
          <w:highlight w:val="none"/>
          <w:u w:val="single"/>
          <w14:textFill>
            <w14:solidFill>
              <w14:schemeClr w14:val="tx1"/>
            </w14:solidFill>
          </w14:textFill>
        </w:rPr>
        <w:t xml:space="preserve">按照采购合同的约定对每一项技术、服务、安全标准的履约情况进行确认。</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（6）履约验收标准：</w:t>
      </w:r>
      <w:r>
        <w:rPr>
          <w:rFonts w:hint="eastAsia" w:ascii="宋体" w:hAnsi="宋体" w:cs="宋体"/>
          <w:bCs/>
          <w:color w:val="000000" w:themeColor="text1"/>
          <w:highlight w:val="none"/>
          <w:u w:val="single"/>
          <w14:textFill>
            <w14:solidFill>
              <w14:schemeClr w14:val="tx1"/>
            </w14:solidFill>
          </w14:textFill>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cs="宋体"/>
          <w:bCs/>
          <w:color w:val="000000" w:themeColor="text1"/>
          <w:highlight w:val="none"/>
          <w14:textFill>
            <w14:solidFill>
              <w14:schemeClr w14:val="tx1"/>
            </w14:solidFill>
          </w14:textFill>
        </w:rPr>
        <w:t xml:space="preserve">。</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þ</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（8）履约验收其他事项：</w:t>
      </w:r>
      <w:r>
        <w:rPr>
          <w:rFonts w:hint="eastAsia" w:ascii="宋体" w:hAnsi="宋体" w:cs="宋体"/>
          <w:bCs/>
          <w:color w:val="000000" w:themeColor="text1"/>
          <w:highlight w:val="none"/>
          <w:u w:val="singl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组成合同的文件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（1）政府采购合同协议书及其变更、补充协议</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（2）政府采购合同专用条款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（3）政府采购合同通用条款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（4）中标（成交）通知书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（5）投标（响应）文件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（6）采购文件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（7）有关技术文件，图纸</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合同生效</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本合同自</w:t>
      </w:r>
      <w:r>
        <w:rPr>
          <w:rFonts w:hint="eastAsia" w:ascii="宋体" w:hAnsi="宋体" w:cs="宋体"/>
          <w:color w:val="000000" w:themeColor="text1"/>
          <w:highlight w:val="none"/>
          <w:u w:val="single"/>
          <w14:textFill>
            <w14:solidFill>
              <w14:schemeClr w14:val="tx1"/>
            </w14:solidFill>
          </w14:textFill>
        </w:rPr>
        <w:t xml:space="preserve"> 签订之日起 </w:t>
      </w:r>
      <w:r>
        <w:rPr>
          <w:rFonts w:hint="eastAsia" w:ascii="宋体" w:hAnsi="宋体" w:cs="宋体"/>
          <w:color w:val="000000" w:themeColor="text1"/>
          <w:highlight w:val="none"/>
          <w14:textFill>
            <w14:solidFill>
              <w14:schemeClr w14:val="tx1"/>
            </w14:solidFill>
          </w14:textFill>
        </w:rPr>
        <w:t xml:space="preserve">生效。</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合同份数</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本合同一式</w:t>
      </w:r>
      <w:r>
        <w:rPr>
          <w:rFonts w:hint="eastAsia" w:ascii="宋体" w:hAnsi="宋体" w:cs="宋体"/>
          <w:color w:val="000000" w:themeColor="text1"/>
          <w:highlight w:val="none"/>
          <w:u w:val="single"/>
          <w14:textFill>
            <w14:solidFill>
              <w14:schemeClr w14:val="tx1"/>
            </w14:solidFill>
          </w14:textFill>
        </w:rPr>
        <w:t xml:space="preserve"> 肆 </w:t>
      </w:r>
      <w:r>
        <w:rPr>
          <w:rFonts w:hint="eastAsia" w:ascii="宋体" w:hAnsi="宋体" w:cs="宋体"/>
          <w:color w:val="000000" w:themeColor="text1"/>
          <w:highlight w:val="none"/>
          <w14:textFill>
            <w14:solidFill>
              <w14:schemeClr w14:val="tx1"/>
            </w14:solidFill>
          </w14:textFill>
        </w:rPr>
        <w:t xml:space="preserve">份，甲方执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份，乙方执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份，均具有同等法律效力。</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合同订立时间：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合同订立地点：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附件：具体标的及其技术要求和商务要求、联合协议、分包意向协议等。</w:t>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08"/>
        <w:shd w:val="clear" w:color="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tbl>
      <w:tblPr>
        <w:tblStyle w:val="788"/>
        <w:tblW w:w="521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1"/>
        <w:gridCol w:w="2490"/>
        <w:gridCol w:w="2115"/>
        <w:gridCol w:w="2295"/>
      </w:tblGrid>
      <w:tr>
        <w:trPr>
          <w:trHeight w:val="490"/>
        </w:trPr>
        <w:tc>
          <w:tcPr>
            <w:gridSpan w:val="2"/>
            <w:tcBorders>
              <w:bottom w:val="single" w:color="auto" w:sz="2" w:space="0"/>
              <w:right w:val="single" w:color="auto" w:sz="2" w:space="0"/>
            </w:tcBorders>
            <w:tcW w:w="2483"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2516"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乙方（供应商）</w:t>
            </w:r>
            <w:r/>
          </w:p>
        </w:tc>
      </w:tr>
      <w:tr>
        <w:trPr>
          <w:trHeight w:val="917"/>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1171"/>
        </w:trPr>
        <w:tc>
          <w:tcPr>
            <w:tcBorders>
              <w:top w:val="single" w:color="auto" w:sz="2" w:space="0"/>
              <w:right w:val="single" w:color="auto" w:sz="2" w:space="0"/>
            </w:tcBorders>
            <w:tcW w:w="1062"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ind w:firstLine="100"/>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21"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trHeight w:val="483"/>
        </w:trPr>
        <w:tc>
          <w:tcPr>
            <w:tcBorders>
              <w:bottom w:val="single" w:color="auto" w:sz="2" w:space="0"/>
              <w:right w:val="single" w:color="auto" w:sz="2" w:space="0"/>
            </w:tcBorders>
            <w:tcW w:w="1062"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left w:val="single" w:color="auto" w:sz="2" w:space="0"/>
              <w:bottom w:val="single" w:color="auto" w:sz="2" w:space="0"/>
              <w:right w:val="single" w:color="auto" w:sz="2" w:space="0"/>
            </w:tcBorders>
            <w:tcW w:w="1421"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94"/>
              <w:ind w:firstLine="0"/>
              <w:jc w:val="left"/>
              <w:spacing w:before="120" w:line="360" w:lineRule="auto"/>
              <w:shd w:val="clear" w:color="auto"/>
              <w:rPr>
                <w:rFonts w:hint="eastAsia" w:ascii="宋体" w:hAnsi="宋体" w:eastAsia="宋体" w:cs="宋体"/>
                <w:color w:val="000000" w:themeColor="text1"/>
                <w:spacing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t xml:space="preserve">注：涉及联合体或其他合同主体的信息应按上表格式加列。</w:t>
            </w:r>
            <w:r/>
          </w:p>
        </w:tc>
      </w:tr>
    </w:tbl>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9"/>
        <w:jc w:val="center"/>
        <w:spacing w:before="120"/>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8" w:name="_Toc27624"/>
      <w:r>
        <w:rPr>
          <w:rFonts w:hint="eastAsia" w:ascii="宋体" w:hAnsi="宋体" w:eastAsia="宋体" w:cs="宋体"/>
          <w:b/>
          <w:bCs/>
          <w:color w:val="000000" w:themeColor="text1"/>
          <w:sz w:val="28"/>
          <w:szCs w:val="28"/>
          <w:highlight w:val="none"/>
          <w14:textFill>
            <w14:solidFill>
              <w14:schemeClr w14:val="tx1"/>
            </w14:solidFill>
          </w14:textFill>
        </w:rPr>
        <w:t xml:space="preserve">第二节 政府采购合同通用条款</w:t>
      </w:r>
      <w:bookmarkEnd w:id="68"/>
      <w:r/>
      <w:r/>
    </w:p>
    <w:p>
      <w:pPr>
        <w:jc w:val="left"/>
        <w:spacing w:line="400" w:lineRule="exact"/>
        <w:shd w:val="clear" w:color="auto"/>
        <w:tabs>
          <w:tab w:val="left" w:pos="8820" w:leader="none"/>
          <w:tab w:val="left" w:pos="9345" w:leader="none"/>
          <w:tab w:val="left" w:pos="97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1.1合同当事人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1.2本合同下列术语应解释为：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（1）“合同”系指</w:t>
      </w:r>
      <w:r>
        <w:rPr>
          <w:rFonts w:hint="eastAsia" w:ascii="宋体" w:hAnsi="宋体" w:cs="宋体"/>
          <w:bCs/>
          <w:color w:val="000000" w:themeColor="text1"/>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技术资料和材料等。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（7）其他术语解释，见【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numPr>
          <w:ilvl w:val="0"/>
          <w:numId w:val="9"/>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shd w:val="clear" w:color="auto"/>
        <w:rPr>
          <w:rFonts w:hint="eastAsia" w:ascii="宋体" w:hAnsi="宋体" w:cs="宋体"/>
          <w:b/>
          <w:bCs/>
          <w:i/>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任何费用。</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乙方应当在约定的时间、地点，按照约定方式履行合同。</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4.6 国家法律法规规定及</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约定应由甲方承担的其他义务和责任。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93"/>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5.3乙方有权根据合同约定向甲方收取合同价款。</w:t>
      </w:r>
      <w:r/>
    </w:p>
    <w:p>
      <w:pPr>
        <w:pStyle w:val="793"/>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5.4国家法律法规规定及</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 甲乙双方应当按照</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7.1 本合同</w:t>
      </w:r>
      <w:r>
        <w:rPr>
          <w:rFonts w:hint="eastAsia" w:ascii="宋体" w:hAnsi="宋体" w:cs="宋体"/>
          <w:bCs/>
          <w:color w:val="000000" w:themeColor="text1"/>
          <w:highlight w:val="none"/>
          <w14:textFill>
            <w14:solidFill>
              <w14:schemeClr w14:val="tx1"/>
            </w14:solidFill>
          </w14:textFill>
        </w:rPr>
        <w:t xml:space="preserve">涉及商品包装、快递包装的，</w:t>
      </w:r>
      <w:r>
        <w:rPr>
          <w:rFonts w:hint="eastAsia" w:ascii="宋体" w:hAnsi="宋体" w:cs="宋体"/>
          <w:color w:val="000000" w:themeColor="text1"/>
          <w:highlight w:val="none"/>
          <w14:textFill>
            <w14:solidFill>
              <w14:schemeClr w14:val="tx1"/>
            </w14:solidFill>
          </w14:textFill>
        </w:rPr>
        <w:t xml:space="preserve">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约定的</w:t>
      </w:r>
      <w:r>
        <w:rPr>
          <w:rFonts w:hint="eastAsia" w:ascii="宋体" w:hAnsi="宋体" w:cs="宋体"/>
          <w:color w:val="000000" w:themeColor="text1"/>
          <w:highlight w:val="none"/>
          <w14:textFill>
            <w14:solidFill>
              <w14:schemeClr w14:val="tx1"/>
            </w14:solidFill>
          </w14:textFill>
        </w:rPr>
        <w:t xml:space="preserve">指定现场。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 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7.3 货物保险要求按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规定执行</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7.5 乙方在运输到达之前应提前通知甲方，并提示货物运输装卸的注意事项，甲方配合乙方做好货物的接收工作。</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pStyle w:val="797"/>
        <w:ind w:firstLine="420"/>
        <w:jc w:val="left"/>
        <w:spacing w:line="400" w:lineRule="exact"/>
        <w:shd w:val="clear" w:color="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8.1 质量标准</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7"/>
        <w:ind w:firstLine="420"/>
        <w:jc w:val="left"/>
        <w:spacing w:line="400" w:lineRule="exact"/>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（3）乙方所提供的货物应符合国家有关安全、环保、卫生的规定。</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 保证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（3）乙方收到通知后，应在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9.1 乙方保证对其出售的货物享有合法的权利。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 如甲方使用上述货物构成对第三人侵权的，则由乙方承担全部责任。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69"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9"/>
      <w:r>
        <w:rPr>
          <w:rFonts w:hint="eastAsia" w:ascii="宋体" w:hAnsi="宋体" w:cs="宋体"/>
          <w:color w:val="000000" w:themeColor="text1"/>
          <w:highlight w:val="none"/>
          <w14:textFill>
            <w14:solidFill>
              <w14:schemeClr w14:val="tx1"/>
            </w14:solidFill>
          </w14:textFill>
        </w:rPr>
        <w:t xml:space="preserve">。</w:t>
      </w:r>
      <w:r/>
    </w:p>
    <w:p>
      <w:pPr>
        <w:ind w:firstLine="482"/>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420"/>
        <w:jc w:val="left"/>
        <w:spacing w:line="400" w:lineRule="exact"/>
        <w:shd w:val="clear" w:color="auto"/>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】中约定。</w:t>
      </w:r>
      <w:r/>
    </w:p>
    <w:p>
      <w:pPr>
        <w:pStyle w:val="793"/>
        <w:spacing w:line="400" w:lineRule="exact"/>
        <w:shd w:val="clear" w:color="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除银行电汇、网上银行、数字人民币外，</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还可选用银行保函、担保公司的保证担保或保险公司的保证保险、等多种形式向</w:t>
      </w:r>
      <w:r>
        <w:rPr>
          <w:rFonts w:hint="eastAsia" w:ascii="宋体" w:hAnsi="宋体" w:cs="宋体"/>
          <w:color w:val="000000" w:themeColor="text1"/>
          <w:szCs w:val="15"/>
          <w:highlight w:val="none"/>
          <w14:textFill>
            <w14:solidFill>
              <w14:schemeClr w14:val="tx1"/>
            </w14:solidFill>
          </w14:textFill>
        </w:rPr>
        <w:t xml:space="preserve">甲方提交。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s="宋体"/>
          <w:color w:val="000000" w:themeColor="text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13.3 甲方在项目通过验收后按照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规定支付。</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（1）货物的现场移动、安装、调试、启动监督及技术支持；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（2）提供货物组装和维修所需的专用工具和辅助材料；</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888"/>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规定由乙方提供的其他服务。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14.2 乙方提供的售后服务的费用已包含在合同价款中，甲方不再另行支付。</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 违约责任</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15.1质量瑕疵的违约责任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要求</w:t>
      </w:r>
      <w:r>
        <w:rPr>
          <w:rFonts w:hint="eastAsia" w:ascii="宋体" w:hAnsi="宋体" w:cs="宋体"/>
          <w:color w:val="000000" w:themeColor="text1"/>
          <w:highlight w:val="none"/>
          <w14:textFill>
            <w14:solidFill>
              <w14:schemeClr w14:val="tx1"/>
            </w14:solidFill>
          </w14:textFill>
        </w:rPr>
        <w:t xml:space="preserve">及时修理、重作、更换，并承担由此给甲方造成的损失。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15.2 迟延交货的违约责任</w:t>
      </w:r>
      <w:r>
        <w:rPr>
          <w:rFonts w:hint="eastAsia" w:ascii="宋体" w:hAnsi="宋体" w:cs="宋体"/>
          <w:color w:val="000000" w:themeColor="text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 迟延支付的违约责任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规定的逾期付款利息。</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w:t>
      </w:r>
      <w:r/>
    </w:p>
    <w:p>
      <w:pPr>
        <w:numPr>
          <w:ilvl w:val="0"/>
          <w:numId w:val="11"/>
        </w:num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16.1合同的变更</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16.2合同的中止</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16.3合同的终止</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shd w:val="clear" w:color="auto"/>
        <w:rPr>
          <w:rFonts w:hint="eastAsia"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rPr>
          <w:rFonts w:hint="eastAsia" w:ascii="宋体" w:hAnsi="宋体" w:cs="宋体"/>
          <w:b/>
          <w:bCs/>
          <w:highlight w:val="none"/>
        </w:rPr>
        <w:t xml:space="preserve">乙方向甲方支付</w:t>
      </w:r>
      <w:r>
        <w:rPr>
          <w:rFonts w:hint="eastAsia" w:ascii="宋体" w:hAnsi="宋体" w:cs="宋体"/>
          <w:b/>
          <w:bCs/>
          <w:highlight w:val="none"/>
          <w:lang w:val="en-US" w:eastAsia="zh-CN"/>
        </w:rPr>
        <w:t xml:space="preserve">10</w:t>
      </w:r>
      <w:r>
        <w:rPr>
          <w:rFonts w:hint="eastAsia" w:ascii="宋体" w:hAnsi="宋体" w:cs="宋体"/>
          <w:b/>
          <w:bCs/>
          <w:highlight w:val="none"/>
        </w:rPr>
        <w:t xml:space="preserve">万元违约金</w:t>
      </w:r>
      <w:r>
        <w:rPr>
          <w:rFonts w:hint="eastAsia" w:ascii="宋体" w:hAnsi="宋体" w:cs="宋体"/>
          <w:highlight w:val="none"/>
        </w:rPr>
        <w:t xml:space="preserve">，乙方承担甲方因此产生的损失（包含但不限于律师费、诉讼费、保全费、执行费等）。</w:t>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 xml:space="preserve">涉及国家利益、社会公共利益的情形</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highlight w:val="none"/>
          <w14:textFill>
            <w14:solidFill>
              <w14:schemeClr w14:val="tx1"/>
            </w14:solidFill>
          </w14:textFill>
        </w:rPr>
        <w:t xml:space="preserve">，有过错的一方应当承担赔偿责任，双方都有过错的，各自承担相应的责任。</w:t>
      </w:r>
      <w:r/>
    </w:p>
    <w:p>
      <w:pPr>
        <w:pStyle w:val="793"/>
        <w:ind w:firstLine="420"/>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21.1本合同的订立、生效、解释、履行及与本合同有关的争议解决，均适用法律、行政法规。</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21.2本合同条款与法律、行政法规的强制性规定不一致的，双方当事人应按照法律、行政法规的强制性规定修改本合同的相关条款。</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888"/>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23.1合同未尽事项见</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w:t>
      </w:r>
      <w:r/>
    </w:p>
    <w:p>
      <w:pPr>
        <w:jc w:val="left"/>
        <w:spacing w:line="400" w:lineRule="exact"/>
        <w:shd w:val="clear" w:color="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23.2 合同附件与合同正文具有同等的法律效力。</w:t>
      </w:r>
      <w:r/>
    </w:p>
    <w:p>
      <w:pPr>
        <w:pStyle w:val="888"/>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9"/>
        <w:jc w:val="center"/>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第三节 政府采购合同专用条款</w:t>
      </w:r>
      <w:r/>
    </w:p>
    <w:tbl>
      <w:tblPr>
        <w:tblStyle w:val="814"/>
        <w:tblW w:w="9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1850"/>
        <w:gridCol w:w="5592"/>
      </w:tblGrid>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联合体具体要求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第1.2（7）项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其他术语解释</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履约验收中甲方提出异议或作出说明的期限</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履约验收中甲方提出异议的期限：3个工作日。</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或履约验收中甲方作出说明的期限：3个工作日。</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第4.6款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约定甲方承担的其他义务和责任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约定乙方承担的其他义务和责任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1.乙方保证所交付的货物（包含与货物相关的服务）的所有权完全属于乙方且无任何抵押、查封等产权瑕疵；</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2.乙方所供货物质量不符合规定的，由其负责包换或包修，并承担修理、调换或退货而支付的实际费用；</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3.非因甲方原因，乙方不履行本合同规定的义务，致使工期延误，甲方有权要求其强制履行或解除合同，并要求乙方等额赔偿由此造成的一切损失。</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4.乙方所供产品质量经相关部门检验不合格的，甲方有权没收乙方全部不合格产品。乙方接受相关行政处罚同时乙方应无条件调换合格产品完成项目供货并承担甲方一切损失。</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第6.1款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履行合同义务的顺序</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本协议书与下列文件一起构成合同文件，如下述文件之间有任何抵触、矛盾或歧义，应按以下顺序解释：</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（1）政府采购合同协议书及其变更、补充协议；</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（2）政府采购合同专用条款；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（3）政府采购合同通用条款；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（4）中标（成交）通知书；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（5）投标（响应）文件；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（6）采购文件；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（7）有关技术文件，图纸；</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（8）国家法律、行政法规和规章制度规定或合同约定的作为合同组成部分的其他文件。</w:t>
            </w:r>
            <w:r/>
          </w:p>
        </w:tc>
      </w:tr>
      <w:tr>
        <w:trPr>
          <w:trHeight w:val="667"/>
        </w:trPr>
        <w:tc>
          <w:tcPr>
            <w:tcMar>
              <w:left w:w="108" w:type="dxa"/>
              <w:top w:w="0" w:type="dxa"/>
              <w:right w:w="108" w:type="dxa"/>
              <w:bottom w:w="0" w:type="dxa"/>
            </w:tcMar>
            <w:tcW w:w="1590" w:type="dxa"/>
            <w:vAlign w:val="center"/>
            <w:vMerge w:val="restart"/>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包装特殊要求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（1）商品包装层数不得超过3 层，空隙率不大于 40%；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（2）商品包装尽可能使用单一材质的包装材料，如因功能需求必需使用不同材质，不同材质间应便于分离；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（3）商品包装中铅、汞、镉、六价铬的总含量应不大于 100mg/kg；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（4）商品包装印刷使用的油墨中挥发性有机化合物(VOCs) 含量应不大于 5%（以重量计）；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（5）塑料材质商品包装上呈现的印刷颜色不得超过6 色；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（6）纸质商品包装应使用75%以上的可再生纤维原料生产；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（7）木质商品包装的原料应来源于可持续性森林。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（1）快递包装中重金属（铅、汞、镉、六价铬）总量应不大于100mg/kg；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（2）快递包装印刷使用的油墨中不应添加邻苯二甲酸酯，其挥发性有机化合物(VOCs)含量应不大于5%（以重量计）；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（3）快递包装中使用纸基材的包装材料，纸基材中的有机氯的含量应不大于150 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（5）快递中使用的塑料包装袋不得使用聚氯乙烯作为原料，且原料应为单一材质制成，生物分解率大于60%；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（6）快递中使用的充气类填充物不得使用聚氯乙烯作为原料，且原料为单一材质制成，生物分解率大于60%；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（7）快递中使用的集装袋应为单一材质制成，其重复使用次数应不小于80 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（8）快递中应使用幅宽不大于45mm 的生物降解胶带；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（9）快递包装中不得使用溶剂型胶粘剂；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（10）快递应使用电子面单；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（11）直接使用商品包装作为快递包装的商品，其商品包装满足《商品包装政府采购需求标准（试行）》即可；</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（12）快递包装产品质量和封装方式应符合相关国家或行业标准技术指标要求。</w:t>
            </w:r>
            <w:r/>
          </w:p>
        </w:tc>
      </w:tr>
      <w:tr>
        <w:trPr>
          <w:trHeight w:val="378"/>
        </w:trPr>
        <w:tc>
          <w:tcPr>
            <w:tcW w:w="1590" w:type="dxa"/>
            <w:vMerge w:val="continue"/>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指定现场</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甲方指定的项目现场。</w:t>
            </w:r>
            <w:r/>
          </w:p>
        </w:tc>
      </w:tr>
      <w:tr>
        <w:trPr>
          <w:trHeight w:val="595"/>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运输特殊要求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由乙方视情况自定运输方式，费用自负。</w:t>
            </w:r>
            <w:r/>
          </w:p>
        </w:tc>
      </w:tr>
      <w:tr>
        <w:trPr>
          <w:trHeight w:val="66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保险要求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第8.2（1）项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运行维护期（售后服务期）</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年（自货物最终交付验收合格之日计算）。（有特殊要求的产品，售后服务期按招标文件的约定执行）。</w:t>
            </w: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年内发现货物缺陷等质量问题，中标供应商负责无条件维修或调换；中标供应商货物经过双方检验认可后，签署验收报告，按国家及相关部门的 “三包”要求（特别要求的按特别要求执行）。</w:t>
            </w:r>
            <w:r/>
          </w:p>
        </w:tc>
      </w:tr>
      <w:tr>
        <w:trPr>
          <w:trHeight w:val="543"/>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货物质量缺陷</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响应时间</w:t>
            </w:r>
            <w:r/>
          </w:p>
        </w:tc>
        <w:tc>
          <w:tcPr>
            <w:tcMar>
              <w:left w:w="108" w:type="dxa"/>
              <w:top w:w="0" w:type="dxa"/>
              <w:right w:w="108" w:type="dxa"/>
              <w:bottom w:w="0" w:type="dxa"/>
            </w:tcMar>
            <w:tcW w:w="5592" w:type="dxa"/>
            <w:vAlign w:val="center"/>
            <w:textDirection w:val="lrTb"/>
            <w:noWrap w:val="false"/>
          </w:tcPr>
          <w:p>
            <w:pPr>
              <w:ind w:firstLine="420"/>
              <w:jc w:val="left"/>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运行维护期（售后服务期）</w:t>
            </w:r>
            <w:r>
              <w:rPr>
                <w:rFonts w:hint="eastAsia" w:ascii="宋体" w:hAnsi="宋体" w:eastAsia="宋体" w:cs="宋体"/>
                <w:color w:val="auto"/>
                <w:highlight w:val="none"/>
              </w:rPr>
              <w:t xml:space="preserve">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pacing w:before="200" w:after="200"/>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第11.1款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其他应当保密的信息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合同价款支付时间</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收到供应商发票后10个工作日内。</w:t>
            </w:r>
            <w:r/>
          </w:p>
        </w:tc>
      </w:tr>
      <w:tr>
        <w:trPr>
          <w:trHeight w:val="69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履约保证金不予退还的情形</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履约保证金退还时间及逾期退还的违约金</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货物类项目，项目验收合格，出具验收报告及履约保证金收据申请退付；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履约保证金退还时间：采购单位收到投标人退付申请后5个工作日内退还；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逾期退还履约保证金的违约责任：除应当退还履约保证金外，还应当按中国人民银行同期贷款基准利率上浮</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20％后的利率支付超期资金占用费，但因投标人自身原因导致无法及时退还的除外。</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运行监督、维修期限</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（自货物最终交付验收合格之日计算）。</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第14.1（5）项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货物回收的约定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由甲乙双方合议定价。</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乙方提供的其他服务</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详见投标文件。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修理、重作、更换相关具体规定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1.乙方应按</w:t>
            </w:r>
            <w:r>
              <w:rPr>
                <w:rFonts w:hint="eastAsia" w:ascii="宋体" w:hAnsi="宋体" w:eastAsia="宋体" w:cs="宋体"/>
                <w:color w:val="auto"/>
                <w:highlight w:val="none"/>
                <w:u w:val="none"/>
                <w:lang w:eastAsia="zh-CN"/>
              </w:rPr>
              <w:t xml:space="preserve">询价通知书</w:t>
            </w:r>
            <w:r>
              <w:rPr>
                <w:rFonts w:hint="eastAsia" w:ascii="宋体" w:hAnsi="宋体" w:eastAsia="宋体" w:cs="宋体"/>
                <w:color w:val="auto"/>
                <w:highlight w:val="none"/>
                <w:u w:val="none"/>
              </w:rPr>
              <w:t xml:space="preserve">规定的货物性能、技术要求、质量标准向甲方提供未经使用的全新产品。</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2.乙方提供的货物在售后服务期内因货物本身的质量问题发生故障，乙方应负责免费更换。对达不到技术要求者，根据实际情况，经双方协商，可按以下办法处理：</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⑴修理、重作、更换：由乙方承担所发生的全部费用。</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⑵贬值处理：由甲乙双方合议定价。</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⑶退货处理：乙方应退还甲方支付的合同款，同时应承担该货物的直接费用（运输、保险、检验、货款利息及银行手续费等）。</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eastAsia="宋体" w:cs="宋体"/>
                <w:color w:val="auto"/>
                <w:highlight w:val="none"/>
                <w:u w:val="none"/>
              </w:rPr>
              <w:t xml:space="preserve">在售后服务期内，乙方应对货物出现的质量及安全问题负责处理解决并承担一切费用。</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第15.2（2）项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迟延交货赔偿费</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乙方不按期完成合同约定的内容，应向甲方支付违约金，除甲方或不可抗力造成原因外，每延迟交付一天，按合同总价款的万分之一支付违约金，违约金可直接从合同总价款中扣除；延期超过10 日，甲方有权强制解除合同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逾期付款利息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其他违约责任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乙方所交的货物品种、型号、规格、技术参数、质量不符合合同规定及</w:t>
            </w:r>
            <w:r>
              <w:rPr>
                <w:rFonts w:hint="eastAsia" w:ascii="宋体" w:hAnsi="宋体" w:cs="宋体"/>
                <w:highlight w:val="none"/>
                <w:lang w:val="en-US" w:eastAsia="zh-CN"/>
              </w:rPr>
              <w:t xml:space="preserve">采购文件</w:t>
            </w:r>
            <w:r>
              <w:rPr>
                <w:rFonts w:hint="eastAsia" w:ascii="宋体" w:hAnsi="宋体" w:cs="宋体"/>
                <w:highlight w:val="none"/>
              </w:rPr>
              <w:t xml:space="preserve">规定标准的，甲方有权拒收该货物，乙方愿意更换货物但逾期交货的，按乙方逾期交货处理。乙方拒绝更换货物的，甲方有权强制解除合同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第19.2款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解决争议的方法</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因本合同及合同有关事项发生的争议，按下列第</w:t>
            </w:r>
            <w:r>
              <w:rPr>
                <w:rFonts w:hint="eastAsia" w:ascii="宋体" w:hAnsi="宋体" w:cs="宋体"/>
                <w:color w:val="000000" w:themeColor="text1"/>
                <w:sz w:val="22"/>
                <w:highlight w:val="none"/>
                <w:u w:val="singl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种方式解决：</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（1）向</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仲裁委员会申请仲裁，仲裁地点为</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（2）向</w:t>
            </w:r>
            <w:r>
              <w:rPr>
                <w:rFonts w:hint="eastAsia" w:ascii="宋体" w:hAnsi="宋体" w:cs="宋体"/>
                <w:color w:val="000000" w:themeColor="text1"/>
                <w:sz w:val="22"/>
                <w:highlight w:val="none"/>
                <w:u w:val="single"/>
                <w14:textFill>
                  <w14:solidFill>
                    <w14:schemeClr w14:val="tx1"/>
                  </w14:solidFill>
                </w14:textFill>
              </w:rPr>
              <w:t xml:space="preserve"> 泗洪县 </w:t>
            </w:r>
            <w:r>
              <w:rPr>
                <w:rFonts w:hint="eastAsia" w:ascii="宋体" w:hAnsi="宋体" w:cs="宋体"/>
                <w:color w:val="000000" w:themeColor="text1"/>
                <w:sz w:val="22"/>
                <w:highlight w:val="none"/>
                <w14:textFill>
                  <w14:solidFill>
                    <w14:schemeClr w14:val="tx1"/>
                  </w14:solidFill>
                </w14:textFill>
              </w:rPr>
              <w:t xml:space="preserve">人民法院起诉。</w:t>
            </w:r>
            <w:r/>
          </w:p>
        </w:tc>
      </w:tr>
      <w:tr>
        <w:trPr>
          <w:trHeight w:val="25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第23.1款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其他专用条款</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highlight w:val="none"/>
              </w:rPr>
            </w:pPr>
            <w:r>
              <w:rPr>
                <w:rFonts w:hint="eastAsia" w:ascii="宋体" w:hAnsi="宋体" w:cs="宋体"/>
                <w:highlight w:val="none"/>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2.乙方与其他方产生任何经济纠纷均与甲方无关。</w:t>
            </w:r>
            <w:r/>
          </w:p>
        </w:tc>
      </w:tr>
    </w:tbl>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bookmarkEnd w:id="66"/>
      <w:r/>
      <w:r/>
    </w:p>
    <w:p>
      <w:pPr>
        <w:pStyle w:val="778"/>
        <w:jc w:val="center"/>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采购需求</w:t>
      </w:r>
      <w:r/>
    </w:p>
    <w:p>
      <w:pPr>
        <w:ind w:firstLine="482"/>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p>
    <w:tbl>
      <w:tblPr>
        <w:tblStyle w:val="788"/>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0"/>
        <w:gridCol w:w="3204"/>
      </w:tblGrid>
      <w:tr>
        <w:trPr>
          <w:trHeight w:val="315"/>
        </w:trPr>
        <w:tc>
          <w:tcPr>
            <w:tcW w:w="4310" w:type="dxa"/>
            <w:vAlign w:val="top"/>
            <w:textDirection w:val="lrTb"/>
            <w:noWrap w:val="false"/>
          </w:tcPr>
          <w:p>
            <w:pPr>
              <w:pStyle w:val="888"/>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204" w:type="dxa"/>
            <w:vAlign w:val="top"/>
            <w:textDirection w:val="lrTb"/>
            <w:noWrap w:val="false"/>
          </w:tcPr>
          <w:p>
            <w:pPr>
              <w:pStyle w:val="888"/>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w:t>
            </w:r>
            <w:r/>
          </w:p>
        </w:tc>
      </w:tr>
      <w:tr>
        <w:trPr/>
        <w:tc>
          <w:tcPr>
            <w:tcW w:w="4310" w:type="dxa"/>
            <w:vAlign w:val="top"/>
            <w:textDirection w:val="lrTb"/>
            <w:noWrap w:val="false"/>
          </w:tcPr>
          <w:p>
            <w:pPr>
              <w:pStyle w:val="888"/>
              <w:ind w:firstLine="0"/>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04" w:type="dxa"/>
            <w:vAlign w:val="top"/>
            <w:textDirection w:val="lrTb"/>
            <w:noWrap w:val="false"/>
          </w:tcPr>
          <w:p>
            <w:pPr>
              <w:pStyle w:val="888"/>
              <w:ind w:left="0"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本项目为货物</w:t>
            </w:r>
            <w:r>
              <w:rPr>
                <w:rFonts w:hint="eastAsia" w:ascii="宋体" w:hAnsi="宋体" w:eastAsia="宋体" w:cs="宋体"/>
                <w:color w:val="auto"/>
                <w:sz w:val="24"/>
                <w:szCs w:val="24"/>
                <w:highlight w:val="none"/>
                <w:lang w:val="en-US" w:eastAsia="zh-CN"/>
              </w:rPr>
              <w:t xml:space="preserve">类</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0"/>
        </w:numPr>
        <w:ind w:firstLine="482"/>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采购标的对应中小企业划分标准所属行业</w:t>
      </w:r>
      <w:r/>
    </w:p>
    <w:tbl>
      <w:tblPr>
        <w:tblStyle w:val="788"/>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3092"/>
        <w:gridCol w:w="3556"/>
      </w:tblGrid>
      <w:tr>
        <w:trPr>
          <w:trHeight w:val="270"/>
        </w:trPr>
        <w:tc>
          <w:tcPr>
            <w:shd w:val="clear" w:color="auto" w:fill="auto"/>
            <w:tcW w:w="960" w:type="dxa"/>
            <w:vAlign w:val="top"/>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309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采购标的</w:t>
            </w:r>
            <w:r/>
          </w:p>
        </w:tc>
        <w:tc>
          <w:tcPr>
            <w:shd w:val="clear" w:color="auto" w:fill="auto"/>
            <w:tcW w:w="355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对应中小企业划分标准所属行业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一、密集架部分（二至四层）</w:t>
            </w:r>
            <w:r/>
          </w:p>
        </w:tc>
      </w:tr>
      <w:tr>
        <w:trPr>
          <w:trHeight w:val="297"/>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手动密集架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●智能特殊载体密集架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樟木板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三步书梯</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平板书车</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二、</w:t>
            </w:r>
            <w:r>
              <w:rPr>
                <w:rFonts w:hint="eastAsia" w:ascii="宋体" w:hAnsi="宋体" w:cs="宋体"/>
                <w:i w:val="0"/>
                <w:iCs w:val="0"/>
                <w:color w:val="333333"/>
                <w:sz w:val="20"/>
                <w:szCs w:val="20"/>
                <w:highlight w:val="none"/>
                <w:u w:val="none"/>
                <w:lang w:val="en-US" w:eastAsia="zh-CN" w:bidi="ar"/>
              </w:rPr>
              <w:t xml:space="preserve">A区特藏库房建设</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（一）特藏库设施布局部分</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石膏板天花</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铝方通装饰吊顶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基础墙体</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玄关背景墙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强电改造-开关</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强电改造-插座</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强电改造-布管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强电改造-布线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专业轨道射灯</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cs="宋体"/>
                <w:i w:val="0"/>
                <w:iCs w:val="0"/>
                <w:color w:val="333333"/>
                <w:sz w:val="20"/>
                <w:szCs w:val="20"/>
                <w:highlight w:val="none"/>
                <w:u w:val="none"/>
                <w:lang w:val="en-US" w:eastAsia="zh-CN" w:bidi="ar"/>
              </w:rPr>
              <w:t xml:space="preserve">布局</w:t>
            </w:r>
            <w:r>
              <w:rPr>
                <w:rFonts w:hint="eastAsia" w:ascii="宋体" w:hAnsi="宋体" w:eastAsia="宋体" w:cs="宋体"/>
                <w:i w:val="0"/>
                <w:iCs w:val="0"/>
                <w:color w:val="333333"/>
                <w:sz w:val="20"/>
                <w:szCs w:val="20"/>
                <w:highlight w:val="none"/>
                <w:u w:val="none"/>
                <w:lang w:val="en-US" w:eastAsia="zh-CN" w:bidi="ar"/>
              </w:rPr>
              <w:t xml:space="preserve">部分-展板边框</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cs="宋体"/>
                <w:i w:val="0"/>
                <w:iCs w:val="0"/>
                <w:color w:val="333333"/>
                <w:sz w:val="20"/>
                <w:szCs w:val="20"/>
                <w:highlight w:val="none"/>
                <w:u w:val="none"/>
                <w:lang w:val="en-US" w:eastAsia="zh-CN" w:bidi="ar"/>
              </w:rPr>
              <w:t xml:space="preserve">布局</w:t>
            </w:r>
            <w:r>
              <w:rPr>
                <w:rFonts w:hint="eastAsia" w:ascii="宋体" w:hAnsi="宋体" w:eastAsia="宋体" w:cs="宋体"/>
                <w:i w:val="0"/>
                <w:iCs w:val="0"/>
                <w:color w:val="333333"/>
                <w:sz w:val="20"/>
                <w:szCs w:val="20"/>
                <w:highlight w:val="none"/>
                <w:u w:val="none"/>
                <w:lang w:val="en-US" w:eastAsia="zh-CN" w:bidi="ar"/>
              </w:rPr>
              <w:t xml:space="preserve">部分-‌立体字</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（二）魔法墙交互</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吊架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高清信号传输设备</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19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雷达</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吸顶音响</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大功率功放</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交互设计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UI设计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动画制作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（三）大屏播放系统</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视频处理器</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钢结构</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吸顶音响</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大功率功放</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29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播放程序</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动画展示</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（四）触摸查询交互系统</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UI设计制作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软件和信息技术服务业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（五）</w:t>
            </w:r>
            <w:r>
              <w:rPr>
                <w:rFonts w:hint="eastAsia" w:ascii="宋体" w:hAnsi="宋体" w:cs="宋体"/>
                <w:i w:val="0"/>
                <w:iCs w:val="0"/>
                <w:color w:val="333333"/>
                <w:sz w:val="20"/>
                <w:szCs w:val="20"/>
                <w:highlight w:val="none"/>
                <w:u w:val="none"/>
                <w:lang w:val="en-US" w:eastAsia="zh-CN" w:bidi="ar"/>
              </w:rPr>
              <w:t xml:space="preserve">中控系统</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键盘鼠标套装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智能控制模块</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手持平板终端</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网络交换机</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无线AP</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AC管理器</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智能中央控制服务器</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39</w:t>
            </w:r>
            <w:r/>
          </w:p>
        </w:tc>
        <w:tc>
          <w:tcPr>
            <w:shd w:val="clear" w:color="auto" w:fill="auto"/>
            <w:tcW w:w="3092"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中控系统</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辅材</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（六）展柜</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独立展示柜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墙体展示柜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三、C区</w:t>
            </w:r>
            <w:r>
              <w:rPr>
                <w:rFonts w:hint="eastAsia" w:ascii="宋体" w:hAnsi="宋体" w:cs="宋体"/>
                <w:i w:val="0"/>
                <w:iCs w:val="0"/>
                <w:color w:val="000000"/>
                <w:sz w:val="20"/>
                <w:szCs w:val="20"/>
                <w:highlight w:val="none"/>
                <w:u w:val="none"/>
                <w:lang w:val="en-US" w:eastAsia="zh-CN" w:bidi="ar"/>
              </w:rPr>
              <w:t xml:space="preserve">临展厅</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独立主题墙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主题展墙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强电改造-开关</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强电改造-插座</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强电改造-布管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强电改造-布线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49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专业轨道射灯</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独立展示柜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四、查档大厅及1-4层办公家具</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查档专用工作台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大厅休闲椅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等待区长条座椅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H区档案目录架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二楼视频监控室指挥台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钢制目录柜（文件柜）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档案整理桌（3m*1.5m)</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长条桌柜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59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档案修复台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办公桌椅1</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办公桌椅2</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会议桌椅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五、档案主题文化建设</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H区档案 文化墙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B数字档案长廊</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E区主题墙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G区主题墙(查档大厅）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F区主题墙(查档大厅）</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南楼J/L区展示墙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69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南楼屏风隔断</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南楼服务吧台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71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南门大厅文化墙</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72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UI设计制作</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K区院中文化地面</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74</w:t>
            </w:r>
            <w:r/>
          </w:p>
        </w:tc>
        <w:tc>
          <w:tcPr>
            <w:shd w:val="clear" w:color="auto" w:fill="ffffff"/>
            <w:tcW w:w="3092" w:type="dxa"/>
            <w:vAlign w:val="center"/>
            <w:textDirection w:val="lrTb"/>
            <w:noWrap/>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南楼双开玻璃门</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南楼室外踏步平台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南楼铝合金推拉窗</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77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南楼钢结构雨棚</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f1115"/>
                <w:sz w:val="20"/>
                <w:szCs w:val="20"/>
                <w:highlight w:val="none"/>
                <w:u w:val="none"/>
                <w:lang w:val="en-US" w:eastAsia="zh-CN" w:bidi="ar"/>
              </w:rPr>
              <w:t xml:space="preserve">建筑业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rPr>
              <w:suppressLineNumbers w:val="0"/>
            </w:pPr>
            <w:r>
              <w:rPr>
                <w:rFonts w:hint="eastAsia" w:ascii="宋体" w:hAnsi="宋体" w:eastAsia="宋体" w:cs="宋体"/>
                <w:i w:val="0"/>
                <w:iCs w:val="0"/>
                <w:color w:val="333333"/>
                <w:sz w:val="20"/>
                <w:szCs w:val="20"/>
                <w:highlight w:val="none"/>
                <w:u w:val="none"/>
                <w:lang w:val="en-US" w:eastAsia="zh-CN" w:bidi="ar"/>
              </w:rPr>
              <w:t xml:space="preserve">六、VI</w:t>
            </w:r>
            <w:r>
              <w:rPr>
                <w:rFonts w:hint="eastAsia" w:ascii="宋体" w:hAnsi="宋体" w:cs="宋体"/>
                <w:i w:val="0"/>
                <w:iCs w:val="0"/>
                <w:color w:val="333333"/>
                <w:sz w:val="20"/>
                <w:szCs w:val="20"/>
                <w:highlight w:val="none"/>
                <w:u w:val="none"/>
                <w:lang w:val="en-US" w:eastAsia="zh-CN" w:bidi="ar"/>
              </w:rPr>
              <w:t xml:space="preserve">建设</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78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1-4楼导示-常规科室牌</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79</w:t>
            </w:r>
            <w:r/>
          </w:p>
        </w:tc>
        <w:tc>
          <w:tcPr>
            <w:shd w:val="clear" w:color="auto" w:fill="auto"/>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1-4楼导示-区域导示牌</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1-4楼导示-楼层索引牌</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档案文化物料-手提式档案资料袋</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档案文化物料-专用笔记本</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333333"/>
                <w:sz w:val="20"/>
                <w:szCs w:val="20"/>
                <w:highlight w:val="none"/>
                <w:u w:val="none"/>
                <w:lang w:val="en-US" w:eastAsia="zh-CN" w:bidi="ar"/>
              </w:rPr>
              <w:t xml:space="preserve">83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档案文化物料-腰线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rPr>
              <w:suppressLineNumbers w:val="0"/>
            </w:pPr>
            <w:r>
              <w:rPr>
                <w:rFonts w:hint="eastAsia" w:ascii="宋体" w:hAnsi="宋体" w:cs="宋体"/>
                <w:i w:val="0"/>
                <w:iCs w:val="0"/>
                <w:color w:val="333333"/>
                <w:sz w:val="20"/>
                <w:szCs w:val="20"/>
                <w:highlight w:val="none"/>
                <w:u w:val="none"/>
                <w:lang w:val="en-US" w:eastAsia="zh-CN" w:bidi="ar"/>
              </w:rPr>
              <w:t xml:space="preserve">84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VI设计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其他未列明行业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七、浮雕</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rPr>
              <w:suppressLineNumbers w:val="0"/>
            </w:pPr>
            <w:r>
              <w:rPr>
                <w:rFonts w:hint="eastAsia" w:ascii="宋体" w:hAnsi="宋体" w:cs="宋体"/>
                <w:i w:val="0"/>
                <w:iCs w:val="0"/>
                <w:color w:val="333333"/>
                <w:sz w:val="20"/>
                <w:szCs w:val="20"/>
                <w:highlight w:val="none"/>
                <w:u w:val="none"/>
                <w:lang w:val="en-US" w:eastAsia="zh-CN" w:bidi="ar"/>
              </w:rPr>
              <w:t xml:space="preserve">85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D区主题浮雕</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rPr>
              <w:suppressLineNumbers w:val="0"/>
            </w:pPr>
            <w:r>
              <w:rPr>
                <w:rFonts w:hint="eastAsia" w:ascii="宋体" w:hAnsi="宋体" w:cs="宋体"/>
                <w:i w:val="0"/>
                <w:iCs w:val="0"/>
                <w:color w:val="333333"/>
                <w:sz w:val="20"/>
                <w:szCs w:val="20"/>
                <w:highlight w:val="none"/>
                <w:u w:val="none"/>
                <w:lang w:val="en-US" w:eastAsia="zh-CN" w:bidi="ar"/>
              </w:rPr>
              <w:t xml:space="preserve">86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D区顶部动态星空</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gridSpan w:val="3"/>
            <w:shd w:val="clear" w:color="auto" w:fill="ffffff"/>
            <w:tcW w:w="760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333333"/>
                <w:sz w:val="20"/>
                <w:szCs w:val="20"/>
                <w:highlight w:val="none"/>
                <w:u w:val="none"/>
                <w:lang w:val="en-US" w:eastAsia="zh-CN" w:bidi="ar"/>
              </w:rPr>
              <w:t xml:space="preserve">八、非机动车车棚</w:t>
            </w:r>
            <w:r/>
          </w:p>
        </w:tc>
      </w:tr>
      <w:tr>
        <w:trPr>
          <w:trHeight w:val="269"/>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车棚</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88</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主电缆</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89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电缆套管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插座配线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智能充电插座</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92</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IC卡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93</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感应灯</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94</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PVC软管</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95</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配线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96</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灭火器</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97</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配电箱</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SA"/>
              </w:rPr>
              <w:suppressLineNumbers w:val="0"/>
            </w:pPr>
            <w:r>
              <w:rPr>
                <w:rFonts w:hint="eastAsia" w:ascii="宋体" w:hAnsi="宋体" w:eastAsia="宋体" w:cs="宋体"/>
                <w:i w:val="0"/>
                <w:iCs w:val="0"/>
                <w:color w:val="333333"/>
                <w:sz w:val="20"/>
                <w:szCs w:val="20"/>
                <w:highlight w:val="none"/>
                <w:u w:val="none"/>
                <w:lang w:val="en-US" w:eastAsia="zh-CN" w:bidi="ar"/>
              </w:rPr>
              <w:t xml:space="preserve">98</w:t>
            </w:r>
            <w:r/>
          </w:p>
        </w:tc>
        <w:tc>
          <w:tcPr>
            <w:shd w:val="clear" w:color="auto" w:fill="ffffff"/>
            <w:tcW w:w="3092"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预埋</w:t>
            </w:r>
            <w:r>
              <w:rPr>
                <w:rFonts w:hint="eastAsia" w:ascii="宋体" w:hAnsi="宋体" w:cs="宋体"/>
                <w:i w:val="0"/>
                <w:iCs w:val="0"/>
                <w:color w:val="333333"/>
                <w:sz w:val="20"/>
                <w:szCs w:val="20"/>
                <w:highlight w:val="none"/>
                <w:u w:val="none"/>
                <w:lang w:val="en-US" w:eastAsia="zh-CN" w:bidi="ar"/>
              </w:rPr>
              <w:t xml:space="preserve">铁件</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99</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基础施工</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100</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接地</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r>
        <w:trPr>
          <w:trHeight w:val="270"/>
        </w:trPr>
        <w:tc>
          <w:tcPr>
            <w:shd w:val="clear" w:color="auto" w:fill="ffffff"/>
            <w:tcW w:w="96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333333"/>
                <w:sz w:val="20"/>
                <w:szCs w:val="20"/>
                <w:highlight w:val="none"/>
                <w:u w:val="none"/>
                <w:lang w:val="en-US" w:eastAsia="zh-CN" w:bidi="ar"/>
              </w:rPr>
              <w:t xml:space="preserve">101</w:t>
            </w:r>
            <w:r/>
          </w:p>
        </w:tc>
        <w:tc>
          <w:tcPr>
            <w:shd w:val="clear" w:color="auto" w:fill="ffffff"/>
            <w:tcW w:w="30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333333"/>
                <w:sz w:val="20"/>
                <w:szCs w:val="20"/>
                <w:highlight w:val="none"/>
                <w:u w:val="none"/>
                <w:lang w:val="en-US" w:eastAsia="zh-CN" w:bidi="ar"/>
              </w:rPr>
              <w:t xml:space="preserve">标线</w:t>
            </w:r>
            <w:r/>
          </w:p>
        </w:tc>
        <w:tc>
          <w:tcPr>
            <w:shd w:val="clear" w:color="auto" w:fill="auto"/>
            <w:tcW w:w="355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建筑业</w:t>
            </w:r>
            <w:r/>
          </w:p>
        </w:tc>
      </w:tr>
    </w:tbl>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进口产品</w:t>
      </w:r>
      <w:r/>
    </w:p>
    <w:tbl>
      <w:tblPr>
        <w:tblStyle w:val="788"/>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7"/>
        <w:gridCol w:w="4373"/>
      </w:tblGrid>
      <w:tr>
        <w:trPr>
          <w:trHeight w:val="400"/>
        </w:trPr>
        <w:tc>
          <w:tcPr>
            <w:tcW w:w="3207" w:type="dxa"/>
            <w:vAlign w:val="top"/>
            <w:textDirection w:val="lrTb"/>
            <w:noWrap w:val="false"/>
          </w:tcPr>
          <w:p>
            <w:pPr>
              <w:pStyle w:val="888"/>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373" w:type="dxa"/>
            <w:vAlign w:val="top"/>
            <w:textDirection w:val="lrTb"/>
            <w:noWrap w:val="false"/>
          </w:tcPr>
          <w:p>
            <w:pPr>
              <w:pStyle w:val="888"/>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是否接受进口产品</w:t>
            </w:r>
            <w:r/>
          </w:p>
        </w:tc>
      </w:tr>
      <w:tr>
        <w:trPr>
          <w:trHeight w:val="400"/>
        </w:trPr>
        <w:tc>
          <w:tcPr>
            <w:tcW w:w="320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3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否</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13"/>
        </w:numPr>
        <w:ind w:firstLine="480"/>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分包形式预留份额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sz w:val="24"/>
          <w:highlight w:val="none"/>
          <w:lang w:val="en-US" w:eastAsia="zh-CN"/>
        </w:rPr>
        <w:t xml:space="preserve">合同中中小微企业的承担项目金额比例不低于40%</w:t>
      </w:r>
      <w:r>
        <w:rPr>
          <w:rFonts w:hint="eastAsia" w:ascii="宋体" w:hAnsi="宋体" w:cs="宋体"/>
          <w:color w:val="000000"/>
          <w:sz w:val="24"/>
          <w:highlight w:val="none"/>
          <w:lang w:val="en-US" w:eastAsia="zh-CN"/>
        </w:rPr>
        <w:t xml:space="preserve">。</w:t>
      </w:r>
      <w:r/>
    </w:p>
    <w:tbl>
      <w:tblPr>
        <w:tblStyle w:val="788"/>
        <w:tblpPr w:horzAnchor="page" w:tblpX="1984" w:vertAnchor="text" w:tblpY="687" w:leftFromText="180" w:topFromText="0" w:rightFromText="180" w:bottomFromText="0"/>
        <w:tblW w:w="7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2"/>
        <w:gridCol w:w="3000"/>
        <w:gridCol w:w="4120"/>
      </w:tblGrid>
      <w:tr>
        <w:trPr>
          <w:trHeight w:val="436"/>
        </w:trPr>
        <w:tc>
          <w:tcPr>
            <w:shd w:val="clear" w:color="auto" w:fill="auto"/>
            <w:tcW w:w="79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30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t xml:space="preserve">具体分包内容</w:t>
            </w:r>
            <w:r/>
          </w:p>
        </w:tc>
        <w:tc>
          <w:tcPr>
            <w:shd w:val="clear" w:color="auto" w:fill="auto"/>
            <w:tcW w:w="4120" w:type="dxa"/>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 w:val="24"/>
                <w:highlight w:val="none"/>
                <w:lang w:val="en-US" w:eastAsia="zh-CN"/>
              </w:rPr>
              <w:t xml:space="preserve">合同分包</w:t>
            </w:r>
            <w:r>
              <w:rPr>
                <w:rFonts w:hint="eastAsia" w:ascii="宋体" w:hAnsi="宋体" w:cs="宋体"/>
                <w:b/>
                <w:bCs/>
                <w:color w:val="000000"/>
                <w:sz w:val="24"/>
                <w:highlight w:val="none"/>
                <w:lang w:val="en-US" w:eastAsia="zh-CN"/>
              </w:rPr>
              <w:t xml:space="preserve">占比（%）</w:t>
            </w:r>
            <w:r/>
          </w:p>
        </w:tc>
      </w:tr>
      <w:tr>
        <w:trPr>
          <w:trHeight w:val="389"/>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1</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手动密集架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2</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智能特殊载体密集架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gridSpan w:val="2"/>
            <w:shd w:val="clear" w:color="auto" w:fill="ffffff"/>
            <w:tcW w:w="3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lang w:val="en-US" w:eastAsia="zh-CN" w:bidi="ar"/>
              </w:rPr>
              <w:suppressLineNumbers w:val="0"/>
            </w:pPr>
            <w:r>
              <w:rPr>
                <w:rFonts w:hint="eastAsia" w:ascii="宋体" w:hAnsi="宋体" w:cs="宋体"/>
                <w:i w:val="0"/>
                <w:iCs w:val="0"/>
                <w:color w:val="333333"/>
                <w:sz w:val="22"/>
                <w:szCs w:val="22"/>
                <w:highlight w:val="none"/>
                <w:u w:val="none"/>
                <w:lang w:val="en-US" w:eastAsia="zh-CN" w:bidi="ar"/>
              </w:rPr>
              <w:t xml:space="preserve">合计</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一、项目概况</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（一）本项目地点：采购单位指定地点。</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（二）采购范围：泗洪县档案馆库房档案装具及文化建设项目</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（三）合同履行期限：采购合同签订后150日历天内供货安装调试完毕并交付使用。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（四）款项的支付方式及进度安排:</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预付款：签订合同并收到供应商发票后10个工作日内支付合同总价款的30%；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进度款：项目完成，供应商提供项目完整技术文档，采购人3个工作日内组织验收并出具验收报告，验收完成收到供应商发票后10个工作日内，支付至合同总价款的100%。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备注: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(1)可以采用数字人民币支付。</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(2)资金支付的时间:收到供应商发票后10个工作日内。</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(3)资金支付的条件:满足相应阶段的要求且收到供应商发票。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(4)当采购数量与实际使用数量不一致时，供应商应根据实际使用量供货，合同的最终结算金额按实际使用量乘以中标单价进行计算。</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(5)在签订合同时，供应商明确表示无需预付款或者主动要求降低预付款比例的，采购人可不适用前述规定。</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（五）运行维护期（售后服务期）：三年。三年内发现设备缺陷等质量问题，中标供应商负责无条件维修或调换；中标供应商货物经过双方检验认可后，签署验收报告，按国家及相关部门的 “三包”要求（特别要求的按特别要求执行），免费维保期自货物最终交付验收合格之日计算(设备厂家维保期大于三年的，以设备厂家维保期为准）。 </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（六）质量：合格。</w:t>
      </w:r>
      <w:r/>
    </w:p>
    <w:p>
      <w:pPr>
        <w:ind w:firstLine="221"/>
        <w:keepLines w:val="0"/>
        <w:keepNext w:val="0"/>
        <w:pageBreakBefore w:val="0"/>
        <w:spacing w:line="499" w:lineRule="atLeast"/>
        <w:shd w:val="clear" w:color="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highlight w:val="none"/>
          <w:lang w:val="en-US" w:eastAsia="zh-CN"/>
        </w:rPr>
        <w:t xml:space="preserve">二、</w:t>
      </w:r>
      <w:r>
        <w:rPr>
          <w:rFonts w:ascii="宋体" w:hAnsi="宋体" w:eastAsia="宋体" w:cs="宋体"/>
          <w:b/>
          <w:bCs/>
          <w:sz w:val="22"/>
          <w:szCs w:val="22"/>
          <w:highlight w:val="none"/>
          <w:lang w:eastAsia="zh-CN"/>
        </w:rPr>
        <w:t xml:space="preserve">采购清单及技术要求</w:t>
      </w:r>
      <w:r/>
    </w:p>
    <w:tbl>
      <w:tblPr>
        <w:tblStyle w:val="788"/>
        <w:tblpPr w:horzAnchor="page" w:tblpX="1364" w:vertAnchor="text" w:tblpY="488" w:leftFromText="180" w:topFromText="0" w:rightFromText="180" w:bottomFromText="0"/>
        <w:tblW w:w="56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6"/>
        <w:gridCol w:w="6379"/>
        <w:gridCol w:w="683"/>
        <w:gridCol w:w="738"/>
      </w:tblGrid>
      <w:tr>
        <w:trPr>
          <w:trHeight w:val="285"/>
        </w:trPr>
        <w:tc>
          <w:tcPr>
            <w:shd w:val="clear" w:color="auto" w:fill="ffffff"/>
            <w:tcW w:w="331" w:type="pct"/>
            <w:vAlign w:val="center"/>
            <w:textDirection w:val="lrTb"/>
            <w:noWrap w:val="false"/>
          </w:tcPr>
          <w:p>
            <w:pPr>
              <w:jc w:val="center"/>
              <w:shd w:val="clear" w:color="auto"/>
              <w:rPr>
                <w:rFonts w:hint="eastAsia" w:ascii="宋体" w:hAnsi="宋体" w:cs="宋体"/>
                <w:b/>
                <w:bCs/>
                <w:color w:val="auto"/>
                <w:sz w:val="22"/>
                <w:szCs w:val="22"/>
                <w:highlight w:val="none"/>
              </w:rPr>
            </w:pPr>
            <w:r/>
            <w:bookmarkStart w:id="70" w:name="一、A区特藏库房布展部分"/>
            <w:r/>
            <w:bookmarkEnd w:id="70"/>
            <w:r>
              <w:rPr>
                <w:rFonts w:hint="eastAsia" w:ascii="宋体" w:hAnsi="宋体" w:cs="宋体"/>
                <w:b/>
                <w:bCs/>
                <w:color w:val="auto"/>
                <w:sz w:val="22"/>
                <w:szCs w:val="22"/>
                <w:highlight w:val="none"/>
                <w:lang w:eastAsia="zh-CN" w:bidi="ar"/>
              </w:rPr>
              <w:t xml:space="preserve">序号</w:t>
            </w:r>
            <w:r/>
          </w:p>
        </w:tc>
        <w:tc>
          <w:tcPr>
            <w:shd w:val="clear" w:color="auto" w:fill="ffffff"/>
            <w:tcW w:w="556" w:type="pct"/>
            <w:vAlign w:val="center"/>
            <w:textDirection w:val="lrTb"/>
            <w:noWrap w:val="false"/>
          </w:tcPr>
          <w:p>
            <w:pPr>
              <w:jc w:val="center"/>
              <w:shd w:val="clear" w:color="auto"/>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项目名称</w:t>
            </w:r>
            <w:r/>
          </w:p>
        </w:tc>
        <w:tc>
          <w:tcPr>
            <w:shd w:val="clear" w:color="auto" w:fill="ffffff"/>
            <w:tcW w:w="3363" w:type="pct"/>
            <w:vAlign w:val="center"/>
            <w:textDirection w:val="lrTb"/>
            <w:noWrap w:val="false"/>
          </w:tcPr>
          <w:p>
            <w:pPr>
              <w:jc w:val="center"/>
              <w:shd w:val="clear" w:color="auto"/>
              <w:rPr>
                <w:rFonts w:hint="default" w:ascii="宋体" w:hAnsi="宋体" w:cs="宋体"/>
                <w:b/>
                <w:bCs/>
                <w:color w:val="auto"/>
                <w:sz w:val="22"/>
                <w:szCs w:val="22"/>
                <w:highlight w:val="none"/>
                <w:lang w:val="en-US"/>
              </w:rPr>
            </w:pPr>
            <w:r>
              <w:rPr>
                <w:rFonts w:hint="eastAsia" w:ascii="宋体" w:hAnsi="宋体" w:cs="宋体"/>
                <w:b/>
                <w:bCs/>
                <w:color w:val="auto"/>
                <w:sz w:val="22"/>
                <w:szCs w:val="22"/>
                <w:highlight w:val="none"/>
                <w:lang w:eastAsia="zh-CN" w:bidi="ar"/>
              </w:rPr>
              <w:t xml:space="preserve">技术参数</w:t>
            </w:r>
            <w:r>
              <w:rPr>
                <w:rFonts w:hint="eastAsia" w:ascii="宋体" w:hAnsi="宋体" w:cs="宋体"/>
                <w:b/>
                <w:bCs/>
                <w:color w:val="auto"/>
                <w:sz w:val="22"/>
                <w:szCs w:val="22"/>
                <w:highlight w:val="none"/>
                <w:lang w:val="en-US" w:eastAsia="zh-CN" w:bidi="ar"/>
              </w:rPr>
              <w:t xml:space="preserve">要求</w:t>
            </w:r>
            <w:r/>
          </w:p>
        </w:tc>
        <w:tc>
          <w:tcPr>
            <w:shd w:val="clear" w:color="auto" w:fill="ffffff"/>
            <w:tcW w:w="36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单位</w:t>
            </w:r>
            <w:r/>
          </w:p>
        </w:tc>
        <w:tc>
          <w:tcPr>
            <w:shd w:val="clear" w:color="auto" w:fill="ffffff"/>
            <w:tcW w:w="389"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数量</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1" w:name="一、密集架部分（二至四层）（具体清单：详见附件2）"/>
            <w:r>
              <w:rPr>
                <w:rFonts w:hint="eastAsia" w:ascii="宋体" w:hAnsi="宋体" w:cs="宋体"/>
                <w:b/>
                <w:bCs/>
                <w:color w:val="auto"/>
                <w:highlight w:val="none"/>
                <w:lang w:val="en-US" w:eastAsia="zh-CN" w:bidi="ar"/>
              </w:rPr>
              <w:t xml:space="preserve">一</w:t>
            </w:r>
            <w:r>
              <w:rPr>
                <w:rFonts w:hint="eastAsia" w:ascii="宋体" w:hAnsi="宋体" w:cs="宋体"/>
                <w:b/>
                <w:bCs/>
                <w:color w:val="auto"/>
                <w:highlight w:val="none"/>
                <w:lang w:eastAsia="zh-CN" w:bidi="ar"/>
              </w:rPr>
              <w:t xml:space="preserve">、密集架部分（二至四层）（</w:t>
            </w:r>
            <w:r>
              <w:rPr>
                <w:rFonts w:hint="eastAsia" w:ascii="宋体" w:hAnsi="宋体" w:cs="宋体"/>
                <w:b/>
                <w:bCs/>
                <w:color w:val="auto"/>
                <w:highlight w:val="none"/>
                <w:lang w:val="en-US" w:eastAsia="zh-CN" w:bidi="ar"/>
              </w:rPr>
              <w:t xml:space="preserve">密集架分布清单</w:t>
            </w:r>
            <w:r>
              <w:rPr>
                <w:rFonts w:hint="eastAsia" w:ascii="宋体" w:hAnsi="宋体" w:cs="宋体"/>
                <w:b/>
                <w:bCs/>
                <w:color w:val="auto"/>
                <w:highlight w:val="none"/>
                <w:lang w:eastAsia="zh-CN" w:bidi="ar"/>
              </w:rPr>
              <w:t xml:space="preserve">：详见附件</w:t>
            </w:r>
            <w:r>
              <w:rPr>
                <w:rFonts w:hint="eastAsia" w:ascii="宋体" w:hAnsi="宋体" w:cs="宋体"/>
                <w:b/>
                <w:bCs/>
                <w:color w:val="auto"/>
                <w:highlight w:val="none"/>
                <w:lang w:val="en-US" w:eastAsia="zh-CN" w:bidi="ar"/>
              </w:rPr>
              <w:t xml:space="preserve">1</w:t>
            </w:r>
            <w:r>
              <w:rPr>
                <w:rFonts w:hint="eastAsia" w:ascii="宋体" w:hAnsi="宋体" w:cs="宋体"/>
                <w:b/>
                <w:bCs/>
                <w:color w:val="auto"/>
                <w:sz w:val="22"/>
                <w:szCs w:val="22"/>
                <w:highlight w:val="none"/>
                <w:lang w:eastAsia="zh-CN" w:bidi="ar"/>
              </w:rPr>
              <w:t xml:space="preserve">）</w:t>
            </w:r>
            <w:bookmarkEnd w:id="71"/>
            <w:r/>
            <w:r/>
          </w:p>
        </w:tc>
      </w:tr>
      <w:tr>
        <w:trPr>
          <w:trHeight w:val="285"/>
        </w:trPr>
        <w:tc>
          <w:tcPr>
            <w:shd w:val="clear" w:color="auto" w:fill="ffffff"/>
            <w:tcW w:w="331" w:type="pct"/>
            <w:vAlign w:val="center"/>
            <w:textDirection w:val="lrTb"/>
            <w:noWrap w:val="false"/>
          </w:tcPr>
          <w:p>
            <w:pPr>
              <w:numPr>
                <w:ilvl w:val="0"/>
                <w:numId w:val="14"/>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手动密集架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#1、外观结构：采用上、中、下三段式前侧面板。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bidi="ar"/>
              </w:rPr>
              <w:t xml:space="preserve">加强筋结构</w:t>
            </w:r>
            <w:r>
              <w:rPr>
                <w:rFonts w:hint="eastAsia" w:ascii="宋体" w:hAnsi="宋体" w:cs="宋体"/>
                <w:color w:val="auto"/>
                <w:sz w:val="22"/>
                <w:szCs w:val="22"/>
                <w:highlight w:val="none"/>
                <w:lang w:eastAsia="zh-CN" w:bidi="ar"/>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3、轨道</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#（1）由20mm×25mm的实心方钢导轨与≥3.0mm冷轧钢板制成的轨座焊接成形，</w:t>
            </w:r>
            <w:r>
              <w:rPr>
                <w:rFonts w:hint="eastAsia" w:ascii="宋体" w:hAnsi="宋体" w:cs="宋体"/>
                <w:color w:val="auto"/>
                <w:sz w:val="22"/>
                <w:szCs w:val="22"/>
                <w:highlight w:val="none"/>
                <w:lang w:val="en-US" w:eastAsia="zh-CN" w:bidi="ar"/>
              </w:rPr>
              <w:t xml:space="preserve">镀硬铬防锈处理。</w:t>
            </w:r>
            <w:r/>
          </w:p>
          <w:p>
            <w:pPr>
              <w:jc w:val="left"/>
              <w:shd w:val="clear" w:color="auto"/>
              <w:rPr>
                <w:rFonts w:hint="eastAsia" w:ascii="宋体" w:hAnsi="宋体" w:cs="宋体"/>
                <w:color w:val="333333"/>
                <w:sz w:val="22"/>
                <w:szCs w:val="22"/>
                <w:highlight w:val="none"/>
                <w:lang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（2）轨道(可根据满负荷承重要求设计)每米载荷≥1000kg，</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w:t>
            </w:r>
            <w:r>
              <w:rPr>
                <w:rFonts w:hint="eastAsia" w:ascii="宋体" w:hAnsi="宋体" w:cs="宋体"/>
                <w:color w:val="333333"/>
                <w:sz w:val="22"/>
                <w:szCs w:val="22"/>
                <w:highlight w:val="none"/>
                <w:lang w:eastAsia="zh-CN" w:bidi="ar"/>
              </w:rPr>
              <w:t xml:space="preserve">轨道载荷</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w:t>
            </w:r>
            <w:r>
              <w:rPr>
                <w:rFonts w:hint="eastAsia" w:ascii="宋体" w:hAnsi="宋体" w:cs="宋体"/>
                <w:color w:val="auto"/>
                <w:sz w:val="22"/>
                <w:szCs w:val="22"/>
                <w:highlight w:val="none"/>
                <w:lang w:eastAsia="zh-CN"/>
              </w:rPr>
              <w:t xml:space="preserve">）</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#（3）轨道采用(预埋式)，可以根据列的组合长度及架体的承重要求，合理的增加轨道的布轨数量。轨道座上沿与装修地面齐平，垫层坚固平整。轨道与地面的安装方式采用砂浆粘合式或采用膨胀螺栓固定。</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4、架体</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#（1）双柱式结构，每层两块搁板，搁板能在＞60mm内调整高度。标准层净高≥330mm。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（4）搁板均匀承重标准≥80公斤，每块搁板都具有防惯性掉落结构</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w:t>
            </w:r>
            <w:r>
              <w:rPr>
                <w:rFonts w:hint="eastAsia" w:ascii="宋体" w:hAnsi="宋体" w:cs="宋体"/>
                <w:color w:val="333333"/>
                <w:sz w:val="22"/>
                <w:szCs w:val="22"/>
                <w:highlight w:val="none"/>
                <w:lang w:eastAsia="zh-CN" w:bidi="ar"/>
              </w:rPr>
              <w:t xml:space="preserve">搁板承重</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w:t>
            </w: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5</w:t>
            </w:r>
            <w:r>
              <w:rPr>
                <w:rFonts w:hint="eastAsia" w:ascii="宋体" w:hAnsi="宋体" w:cs="宋体"/>
                <w:color w:val="333333"/>
                <w:sz w:val="22"/>
                <w:szCs w:val="22"/>
                <w:highlight w:val="none"/>
                <w:lang w:eastAsia="zh-CN" w:bidi="ar"/>
              </w:rPr>
              <w:t xml:space="preserve">）挂板：≥1.2mm冷轧钢板冲压成型。挂板高度≥120mm。</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6</w:t>
            </w:r>
            <w:r>
              <w:rPr>
                <w:rFonts w:hint="eastAsia" w:ascii="宋体" w:hAnsi="宋体" w:cs="宋体"/>
                <w:color w:val="333333"/>
                <w:sz w:val="22"/>
                <w:szCs w:val="22"/>
                <w:highlight w:val="none"/>
                <w:lang w:eastAsia="zh-CN" w:bidi="ar"/>
              </w:rPr>
              <w:t xml:space="preserve">）隔棒：≥1.0mm冷轧钢板，两端配有自锁结构。</w:t>
            </w:r>
            <w:r>
              <w:rPr>
                <w:rFonts w:hint="eastAsia" w:ascii="宋体" w:hAnsi="宋体" w:cs="宋体"/>
                <w:color w:val="333333"/>
                <w:sz w:val="22"/>
                <w:szCs w:val="22"/>
                <w:highlight w:val="none"/>
                <w:lang w:eastAsia="zh-CN" w:bidi="ar"/>
              </w:rPr>
              <w:br/>
            </w:r>
            <w:r>
              <w:rPr>
                <w:rFonts w:hint="eastAsia" w:ascii="宋体" w:hAnsi="宋体" w:cs="宋体"/>
                <w:color w:val="auto"/>
                <w:sz w:val="22"/>
                <w:szCs w:val="22"/>
                <w:highlight w:val="none"/>
                <w:lang w:eastAsia="zh-CN" w:bidi="ar"/>
              </w:rPr>
              <w:t xml:space="preserve">5、门面</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#（1）门框厚：≥1.2mm冷轧钢板。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#6、前、后面侧面护板：≥1.0mm冷轧钢板，表面喷塑。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7、传动机构</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#（1）轴承：UCFLU204、滚珠调心轴承E级，孔径φ20mm，带座外球面轴承。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#（2）中间主动传动轴：φ20实心45#圆钢，精度等级≥3.2级，表面须做镀锌防锈处理。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#（3）联接管：φ25*2.5，无缝镀锌管。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（4）承重铁滚轮：铸铁</w:t>
            </w:r>
            <w:r>
              <w:rPr>
                <w:rFonts w:hint="eastAsia" w:ascii="宋体" w:hAnsi="宋体" w:cs="宋体"/>
                <w:color w:val="auto"/>
                <w:sz w:val="22"/>
                <w:szCs w:val="22"/>
                <w:highlight w:val="none"/>
                <w:lang w:val="en-US" w:eastAsia="zh-CN" w:bidi="ar"/>
              </w:rPr>
              <w:t xml:space="preserve">材质</w:t>
            </w:r>
            <w:r>
              <w:rPr>
                <w:rFonts w:hint="eastAsia" w:ascii="宋体" w:hAnsi="宋体" w:cs="宋体"/>
                <w:color w:val="auto"/>
                <w:sz w:val="22"/>
                <w:szCs w:val="22"/>
                <w:highlight w:val="none"/>
                <w:lang w:eastAsia="zh-CN" w:bidi="ar"/>
              </w:rPr>
              <w:t xml:space="preserve">、φ120，塑性压缩强度实测值≥50KN。</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手动密集架滚轮</w:t>
            </w:r>
            <w:r>
              <w:rPr>
                <w:rFonts w:hint="eastAsia" w:ascii="宋体" w:hAnsi="宋体" w:cs="宋体"/>
                <w:color w:val="auto"/>
                <w:sz w:val="22"/>
                <w:szCs w:val="22"/>
                <w:highlight w:val="none"/>
                <w:lang w:eastAsia="zh-CN" w:bidi="ar"/>
              </w:rPr>
              <w:t xml:space="preserve">塑性压缩强度</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#（5）承重轮轴：φ20 45#圆钢，表面镀锌防锈处理。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#（7）链条：φ8.5节距12.7FR420。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#（8）摇手柄：采用钢质、锌合金或铝合金等及其他材料制成，手柄可折叠，手柄摇力≤12N/标准节。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#（9）摇手体总成：每个传动变速点须配优质滚珠轴承。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8、制动装置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#（1）边列锁定装具：808锁。</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#（2）中间列制动装置：制动开关。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9、防护装置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#（1）阻燃密封条：阻燃磁性密封条</w:t>
            </w:r>
            <w:r>
              <w:rPr>
                <w:rFonts w:hint="eastAsia" w:ascii="宋体" w:hAnsi="宋体" w:cs="宋体"/>
                <w:color w:val="auto"/>
                <w:sz w:val="22"/>
                <w:szCs w:val="22"/>
                <w:highlight w:val="none"/>
                <w:lang w:val="en-US" w:eastAsia="zh-CN" w:bidi="ar"/>
              </w:rPr>
              <w:t xml:space="preserve">厚度≥20mm。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#（2）顶板：≥1.2mm冷轧钢板。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#（3）防尘板：≥1.0mm冷轧钢板。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#（4）防鼠板：≥1.0mm冷轧钢板。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#（5）防倾倒装置：≥3.5mm冷轧钢板。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10、表面处理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#（1）前处理药剂：脱脂剂、中和液、环保型硅烷系皮膜。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#（2）纯水洗：电导率≤10μs。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#（3）高温烘干：≥200℃。</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#（4）高压静电喷塑：环氧型聚脂混合粉、HYBRID。</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#（5）温固化：190-220℃。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#11、紧固件：不锈钢标准件M6、M8、M10。</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手动密集架架体涂层（塑粉）性能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②</w:t>
            </w:r>
            <w:r>
              <w:rPr>
                <w:rFonts w:hint="eastAsia" w:ascii="宋体" w:hAnsi="宋体" w:cs="宋体"/>
                <w:color w:val="auto"/>
                <w:sz w:val="22"/>
                <w:szCs w:val="22"/>
                <w:highlight w:val="none"/>
                <w:lang w:eastAsia="zh-CN"/>
              </w:rPr>
              <w:t xml:space="preserve">稳定性：防尘门打开时的空载稳定性---架体不应倾倒；防尘门打开时的加载稳定性---防尘门加载800N,架体不应倾倒；搁板水平加载稳定性---在中间单元架的最高搁板施加水平拉力90N，保持1min，架体不应倾倒。</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14</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③耐酸性试验：试样经≥1200h耐酸性试验后，表面涂层应无异常。</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491</w:t>
            </w: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●智能特殊载体密集架</w:t>
            </w:r>
            <w:r/>
          </w:p>
        </w:tc>
        <w:tc>
          <w:tcPr>
            <w:shd w:val="clear" w:color="auto" w:fill="ffffff"/>
            <w:tcW w:w="3363" w:type="pct"/>
            <w:vAlign w:val="center"/>
            <w:textDirection w:val="lrTb"/>
            <w:noWrap w:val="false"/>
          </w:tcPr>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一、硬件部分</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1、外观结构：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采用上、中、下三段式前侧面板，智能密集架的液晶屏幕和列号灯显示屏幕都安装在上侧面板中，固定列显示屏幕和每列列号灯显示屏幕都应与前侧面板采用同个水平面设计，显示器表面与侧面板表面处于同个水平面，两者之间误差≤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#（2）密集架每列前侧面板上侧段都能自由打开、关闭，每列密集架的控制系统必须安装在上段侧面板内封板上。</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rPr>
              <w:t xml:space="preserve">加强筋结构</w:t>
            </w:r>
            <w:r>
              <w:rPr>
                <w:rFonts w:hint="eastAsia" w:ascii="宋体" w:hAnsi="宋体" w:cs="宋体"/>
                <w:color w:val="auto"/>
                <w:sz w:val="22"/>
                <w:szCs w:val="22"/>
                <w:highlight w:val="none"/>
                <w:lang w:eastAsia="zh-CN"/>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轨道：由25mm×25mm的实心方钢导轨与≥3.0mm冷轧钢板制成的轨座焊接成形，镀硬铬防锈处理(可根据满负荷承重要求设计)每米载荷≥1000kg，轨道采用(预埋式)，轨道的布轨数量应符合以下要求：1—3节2条，4—5节3条，6—7节4条，8节以上5条。并可以根据列的组合长度及架体的承重要求，合理的增加轨道的布轨数量。轨道与地面的安装方式采用砂浆粘合式或采用膨胀螺栓固定。</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4、架体</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#（1）双柱式结构，每层两块搁板，搁板能在＞60mm内调整高度。标准层净高≥330mm。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rPr>
              <w:t xml:space="preserve">均匀承重标准≥80公斤，每块搁板都具有防惯性掉落结构，每块搁块侧面都预留RFID标签安装接口并不影响承重要求。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#（4）挂板：≥1.2mm冷轧钢板冲压成型。挂板高度≥120mm。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#（5）隔棒：≥1.0mm冷轧钢板，两端配有自锁结构。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5、门面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#（1）门框厚：≥1.2mm冷轧钢板。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#6、前、后面侧面护板：≥1.0mm冷轧钢板，表面喷塑。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7、传动机构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#（1）电机：120W 24V无刷低压直流电机。</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#（2）轴承：UCFLU204、滚珠调心轴承E级，孔径</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20mm，带座外球面轴承。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#（2）中间主动传动轴：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20实心45#圆钢，精度等级≥3.2级，表面须做镀锌防锈处理。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#（3）联接管：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25*2.5，无缝镀锌管。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#（4）承重铁滚轮：强度铸铁、</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120，塑性压缩强度实测值≥50KN。</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#（5）承重轮轴：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 45#圆钢，表面镀锌防锈处理。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#（7）链条：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8.5节距12.7FR420。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#（8）摇手柄：采用钢质、锌合金或铝合金等及其他材料制成，手柄摇力≤12N/标准节。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#（9）摇手体总成：每个传动变速点须配优质滚珠轴承。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采用中轴带动双轴传动方式，经过多级速比（传动比为1：6），即保证移动速度，又保证手柄摇力符合国家标准，每列标准摇力≤12N。手柄摇动时能自动挂挡，当密集架处于从动或不动状态时，摇柄自行停于垂直位置，手柄可折叠，避免了通行障碍。</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#8、应急驱动器装置：锂电池24V，一次充电后连续使用时间≥2小时。</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9、防护装置</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#（1）阻燃密封条：阻燃磁性密封条</w:t>
            </w:r>
            <w:r>
              <w:rPr>
                <w:rFonts w:hint="eastAsia" w:ascii="宋体" w:hAnsi="宋体" w:cs="宋体"/>
                <w:color w:val="auto"/>
                <w:sz w:val="22"/>
                <w:szCs w:val="22"/>
                <w:highlight w:val="none"/>
                <w:lang w:val="en-US" w:eastAsia="zh-CN"/>
              </w:rPr>
              <w:t xml:space="preserve">厚度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#（2）顶板：≥1.2mm冷轧钢板。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#（3）防尘板/防鼠板：≥1.0mm冷轧钢板。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#（4）防倾倒装置：≥3.5mm冷轧钢板。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10、表面处理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#（1）前处理药剂：脱脂剂、中和液、环保型硅烷系皮膜；</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#（2）纯水洗：电导率≤10</w:t>
            </w:r>
            <w:r>
              <w:rPr>
                <w:rFonts w:hint="eastAsia" w:ascii="宋体" w:hAnsi="宋体" w:cs="宋体"/>
                <w:color w:val="auto"/>
                <w:sz w:val="22"/>
                <w:szCs w:val="22"/>
                <w:highlight w:val="none"/>
              </w:rPr>
              <w:t xml:space="preserve">μ</w:t>
            </w:r>
            <w:r>
              <w:rPr>
                <w:rFonts w:hint="eastAsia" w:ascii="宋体" w:hAnsi="宋体" w:cs="宋体"/>
                <w:color w:val="auto"/>
                <w:sz w:val="22"/>
                <w:szCs w:val="22"/>
                <w:highlight w:val="none"/>
                <w:lang w:eastAsia="zh-CN"/>
              </w:rPr>
              <w:t xml:space="preserve">s；</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#（3）高温烘干：≥200℃；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#（4）高压静电喷塑：环氧型聚脂混合粉、HYBRID；</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#（5）温固化：190-220℃。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#11、紧固件：不锈钢标准件M6、M8、M10。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12、抽屉（知青档案、印章档案、底图档案）</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#（1）抽屉板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#（2）三节静音导轨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1.5mm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#13、奖牌架（奖杯奖牌档案）：≥1.2mm冷扎钢板。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#14、网片（照片档案(挂网式）、字画档案(挂网式））：</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5.0mm不锈钢。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#15、防磁档案：防磁档案密集架主要结构为底板、内箱、外箱、门板及其他附属部件，采用优质冷轧钢板，架体结实、坚固。各部件的材料规格为：底架板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3.0mm，冷轧钢板外箱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1.2mm，内箱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1.2mm，扣板材料(密封作用)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50mm*10mm，内部填充防磁材料。</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#16、亚麻布：阻燃抗污。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#17、密集架内照明灯：</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密集架内照明灯采用LED一体式照明灯，架体打开到位，灯光自动开启照明。单独每盏灯具输出功率满足10W±10％，6000小时光通量测试≥900 lm，6000小时光通量维持率≥95%，灯具色温范围满足4730K-5300K之间；光源显色指数（Ra）≥90；视网膜蓝光危害等级应为RG0无危害；防护等级≥IP40。</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#18.显示</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主控（主）列显示区域尺寸不小于32英寸，屏幕级别不低于N72。列号显示区域屏幕尺寸不小于4英寸，显示效果清晰。为保证产品美观度及安装安全系数，不得采用屏幕外覆盖亚克力板和胶粘等危险方式。电路控制面板安装在密集架定制的控制箱内，无明显外部排线结构，结构可靠，具备抗电磁干扰、耐高温及防粉尘性能，使用寿命长，扩展性强，程序升级便捷。</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移动列应选用不小于8英寸嵌入式设计的彩色液晶触摸屏控制，可在人机交互面上进行开架、闭架、锁定、查询、设置等操作，并在触摸屏上显示区号、列号、温湿度、档案在库数量、借出数量、公告等信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lang w:eastAsia="zh-CN"/>
              </w:rPr>
              <w:t xml:space="preserve">、电气控制部分配置要求详见附表</w:t>
            </w:r>
            <w:r>
              <w:rPr>
                <w:rFonts w:hint="eastAsia" w:ascii="宋体" w:hAnsi="宋体" w:cs="宋体"/>
                <w:color w:val="auto"/>
                <w:sz w:val="22"/>
                <w:szCs w:val="22"/>
                <w:highlight w:val="none"/>
                <w:lang w:val="en-US" w:eastAsia="zh-CN"/>
              </w:rPr>
              <w:t xml:space="preserve">3</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提供智能特殊载体密集架架体涂层（塑粉）性能检测报告（提供具有CMA认证的第三方检测机构出具的检测报告原件扫描件。供应商承诺中标后，项目验收之前按要求提供，承诺函格式自拟并加盖供应商公章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②载重性能：搁板上均布静载荷400N，24h，最大挠度≤4.0mm；卸载后2h，残余变形量≤0.30mm。</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稳定性：防尘门打开时的空载稳定性---对于设置防尘门的密集书架，上层门全部开启90°时，架体不应倾倒；防尘门打开时的加载稳定性---防尘门加载800N,架体不应倾倒；搁板水平加载稳定性---在中间单元架的最高搁板施加水平拉力90N，保持1min，架体不应倾倒。</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④噪声：电动密集书架在电动运行状态下，整体运行时的噪声声压级(A计权)≤70db。</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③耐酸性试验：试样经≥1200h耐酸性试验后，表面涂层应无异常。</w:t>
            </w:r>
            <w:r/>
          </w:p>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二、软件部分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#1、信息管理：档案录入、修改、删除、批量导入导出（Excel/CSV）。</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#2、精准检索：支持按档号、题名、日期、关键词等多条件组合查询。</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开发架构：B/S（浏览器/服务器）架构。</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、数据库：支持MySQL、PostgreSQL等主流关系型数据库。</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、状态监控：实时监控档案在架/离架状态，自动更新库存。</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、操作日志：自动记录所有操作（开架、检索、借阅、归还、参数修改）。</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、人员安全保护：密集架设置红外线进行保护。当操作人员进入通道时，触发红外线动作，使密集架处于“禁止移动”状态，以保护操作人员安全。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lang w:eastAsia="zh-CN"/>
              </w:rPr>
              <w:t xml:space="preserve">、控制模式：</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锁定/解锁：整区/单列锁定，禁止未经授权移动；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通风模式：自动定时开合，均匀通风；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全开/全闭：一键操作。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#9、系统管理：包括用户管理、角色管理、菜单管理、部门管理、岗位管理、字典管理、参数设置、通知公告和操作日志与登录日志管理。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#10、系统监控：包括在线用户、定时任务、数据监控、服务监控、缓存监控、缓存列表。</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▲11、配套固定列管理软件能够实现密集架控制、档案检索、温湿度曲线图、数据采集（温湿度</w:t>
            </w:r>
            <w:r>
              <w:rPr>
                <w:rFonts w:hint="eastAsia" w:ascii="宋体" w:hAnsi="宋体" w:cs="宋体"/>
                <w:color w:val="auto"/>
                <w:sz w:val="22"/>
                <w:szCs w:val="22"/>
                <w:highlight w:val="none"/>
                <w:lang w:val="en-US" w:eastAsia="zh-CN"/>
              </w:rPr>
              <w:t xml:space="preserve">等</w:t>
            </w:r>
            <w:r>
              <w:rPr>
                <w:rFonts w:hint="eastAsia" w:ascii="宋体" w:hAnsi="宋体" w:cs="宋体"/>
                <w:color w:val="auto"/>
                <w:sz w:val="22"/>
                <w:szCs w:val="22"/>
                <w:highlight w:val="none"/>
                <w:lang w:eastAsia="zh-CN"/>
              </w:rPr>
              <w:t xml:space="preserve">）、日志统计查询、指纹解锁、九宫格解锁、语音播报等基础功能。（提供密集架固定列管理软件相关计算机软件著作权登记证书原件扫描件）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▲12、配套移动列管理软件能够通过移动列上触摸按钮实现控制架体左移、停止、右移等操作，并有相关的灯光提示。（提供密集架移动列管理软件相关计算机软件著作权登记证书原件扫描件）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13、配套特藏库及馆库综合管理软件能够整合档案库房智能化设备及各个子系统的设备集成与综合管理能力，实现库房管理人员集中化、统一化、智能化操控库房智能设备，以及实现对库房设备感知数据的收、管、存、用。主要包括：温湿度管理、灯光管理、密集架管理、库房管理、档案管理、报警管理、智能中央控制服务器中控系统（特藏库及档案文化部分--中控系统）等。（提供智慧馆库综合管理平台软件相关计算机软件著作权登记证书原件扫描件）</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14、配套档案馆智慧管理系统能够将各个子系统有机结合，实现资源共享。能够提供公共信息资源,并确保所有的子系统既可独立运行,又可以在计算机网络的基础上实现集中管理。实现统一的人机界面和跨平台的数据库访问。做到局域和远程信息的实时监控。（提供智慧档案馆管理系统相关计算机软件著作权登记证书原件扫描件）</w:t>
            </w:r>
            <w:r/>
          </w:p>
          <w:p>
            <w:pPr>
              <w:jc w:val="left"/>
              <w:shd w:val="clear" w:color="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三、功能需求</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☆☆1、档案分区功能：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分区编号可视化展示：可对智能密集架分区编号进行开关显示，编号显示清晰规范，便于快速识别各管理区域，直观体现库房分区规划的合理性。</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区域架体信息呈现：能够显示各库房对应区域的架体结构、规格数量等详细信息，通过分区编号可精准调取相关信息及结构图示，内容完整、数据准确。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全方位查看与操控：支持手动操作实现库房全方位浏览查看，可对各分区进行跟踪、缩放查看，视角切换流畅，全方位展现库房布局与架体实际效果。</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☆☆2、智能密集架操作功能：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应急开架功能：</w:t>
            </w:r>
            <w:r>
              <w:rPr>
                <w:rFonts w:hint="eastAsia" w:ascii="宋体" w:hAnsi="宋体" w:cs="宋体"/>
                <w:color w:val="auto"/>
                <w:sz w:val="22"/>
                <w:szCs w:val="22"/>
                <w:highlight w:val="none"/>
                <w:lang w:val="en-US" w:eastAsia="zh-CN"/>
              </w:rPr>
              <w:t xml:space="preserve">具有蓄电功能，</w:t>
            </w:r>
            <w:r>
              <w:rPr>
                <w:rFonts w:hint="eastAsia" w:ascii="宋体" w:hAnsi="宋体" w:cs="宋体"/>
                <w:color w:val="auto"/>
                <w:sz w:val="22"/>
                <w:szCs w:val="22"/>
                <w:highlight w:val="none"/>
                <w:lang w:eastAsia="zh-CN"/>
              </w:rPr>
              <w:t xml:space="preserve">可模拟停电状态下智能电动开架、关架操作，停电状态仍支持电动控制，无需手动摇把即可完成应急启闭。</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智能常规操作：实现智能密集架正常打开、关闭操作，支持鸟瞰模式、室内模式等多视角切换展示，可进入开架过道查看真实内部结构与细节效果。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沉浸式室内参观体验：支持通过键盘、鼠标自由控制视角，实现第一人称沉浸式库房漫游参观，还原真实行走查看体验。</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精准呈现与自动巡航：具备自动巡航功能，可按预设路径完整演示室内整体建设效果。</w:t>
            </w:r>
            <w:r/>
          </w:p>
          <w:p>
            <w:pPr>
              <w:jc w:val="left"/>
              <w:shd w:val="clear" w:color="auto"/>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四、系统对接</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val="en-US" w:eastAsia="zh-CN"/>
              </w:rPr>
              <w:t xml:space="preserve">1、智能密集架控制系统的接口、协议等数据格式须确保能够与档案馆</w:t>
            </w:r>
            <w:r>
              <w:rPr>
                <w:rFonts w:hint="default" w:ascii="宋体" w:hAnsi="宋体" w:cs="宋体"/>
                <w:color w:val="auto"/>
                <w:sz w:val="22"/>
                <w:szCs w:val="22"/>
                <w:highlight w:val="none"/>
                <w:lang w:val="en-US" w:eastAsia="zh-CN"/>
              </w:rPr>
              <w:t xml:space="preserve">一体化平台</w:t>
            </w:r>
            <w:r>
              <w:rPr>
                <w:rFonts w:hint="eastAsia" w:ascii="宋体" w:hAnsi="宋体" w:cs="宋体"/>
                <w:color w:val="auto"/>
                <w:sz w:val="22"/>
                <w:szCs w:val="22"/>
                <w:highlight w:val="none"/>
                <w:lang w:val="en-US" w:eastAsia="zh-CN"/>
              </w:rPr>
              <w:t xml:space="preserve">对接，保障功能完整。支持通过一体化平台对密集架进行远程开架、关架等全功能控制，架体运行状态、故障报警、权限日志、分区列号等数据需实时上传至平台。提供承诺函，</w:t>
            </w:r>
            <w:r>
              <w:rPr>
                <w:rFonts w:hint="eastAsia" w:ascii="宋体" w:hAnsi="宋体" w:cs="宋体"/>
                <w:color w:val="auto"/>
                <w:sz w:val="22"/>
                <w:szCs w:val="22"/>
                <w:highlight w:val="none"/>
                <w:lang w:eastAsia="zh-CN"/>
              </w:rPr>
              <w:t xml:space="preserve">承诺函格式自拟并加盖</w:t>
            </w:r>
            <w:r>
              <w:rPr>
                <w:rFonts w:hint="eastAsia" w:ascii="宋体" w:hAnsi="宋体" w:cs="宋体"/>
                <w:color w:val="auto"/>
                <w:sz w:val="22"/>
                <w:szCs w:val="22"/>
                <w:highlight w:val="none"/>
                <w:lang w:val="en-US" w:eastAsia="zh-CN"/>
              </w:rPr>
              <w:t xml:space="preserve">投标人</w:t>
            </w:r>
            <w:r>
              <w:rPr>
                <w:rFonts w:hint="eastAsia" w:ascii="宋体" w:hAnsi="宋体" w:cs="宋体"/>
                <w:color w:val="auto"/>
                <w:sz w:val="22"/>
                <w:szCs w:val="22"/>
                <w:highlight w:val="none"/>
                <w:lang w:eastAsia="zh-CN"/>
              </w:rPr>
              <w:t xml:space="preserve">公章。</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注：供应商中标后需开放系统对接接口，提供接口文档，由采购方提供对接环境，配合采购方完成平台对接。</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4"/>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樟木板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#1.选用优质香樟木原木；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#2.规格：≥长80cm*宽20cm*厚2cm；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尺寸与密集架搁板配套，不得使用指接木拼接，质地坚硬、细密，无贯通裂缝、虫蛀、腐朽、树脂囊、疖子、孔洞、夹皮和树脂道、树胶道及其它轻微材质缺陷，所有的香樟木板材均经过蒸煮，晾晒，烘干，养生；</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#4.控制木材含水率为8-12％。</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2045</w:t>
            </w:r>
            <w:r/>
          </w:p>
        </w:tc>
      </w:tr>
      <w:tr>
        <w:trPr>
          <w:trHeight w:val="285"/>
        </w:trPr>
        <w:tc>
          <w:tcPr>
            <w:shd w:val="clear" w:color="auto" w:fill="ffffff"/>
            <w:tcW w:w="331" w:type="pct"/>
            <w:vAlign w:val="center"/>
            <w:textDirection w:val="lrTb"/>
            <w:noWrap w:val="false"/>
          </w:tcPr>
          <w:p>
            <w:pPr>
              <w:numPr>
                <w:ilvl w:val="0"/>
                <w:numId w:val="14"/>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三步书梯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(2)颜色：浅白色；</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(4)规格：400mm*650mm*1350mm（含扶手高度）；</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(5)工艺：表面喷塑处理；</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(6)承重：每层承重≥100公斤。</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4"/>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平板书车</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(3)规格：900mm*600mm*850mm；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(4)最大载重：1100KG；</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(5)离地高度：180mm；</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(6)轮体：≥6寸静音轮。</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bookmarkStart w:id="72" w:name="二、特藏库及档案文化部分"/>
            <w:r>
              <w:rPr>
                <w:rFonts w:hint="eastAsia" w:ascii="宋体" w:hAnsi="宋体" w:cs="宋体"/>
                <w:b/>
                <w:bCs/>
                <w:color w:val="auto"/>
                <w:sz w:val="22"/>
                <w:szCs w:val="22"/>
                <w:highlight w:val="none"/>
                <w:lang w:val="en-US" w:eastAsia="zh-CN" w:bidi="ar"/>
              </w:rPr>
              <w:t xml:space="preserve">二</w:t>
            </w:r>
            <w:r>
              <w:rPr>
                <w:rFonts w:hint="eastAsia" w:ascii="宋体" w:hAnsi="宋体" w:cs="宋体"/>
                <w:b/>
                <w:bCs/>
                <w:color w:val="auto"/>
                <w:sz w:val="22"/>
                <w:szCs w:val="22"/>
                <w:highlight w:val="none"/>
                <w:lang w:eastAsia="zh-CN" w:bidi="ar"/>
              </w:rPr>
              <w:t xml:space="preserve">、</w:t>
            </w:r>
            <w:bookmarkEnd w:id="72"/>
            <w:r>
              <w:rPr>
                <w:rFonts w:hint="eastAsia" w:ascii="宋体" w:hAnsi="宋体" w:cs="宋体"/>
                <w:b/>
                <w:bCs/>
                <w:color w:val="auto"/>
                <w:sz w:val="22"/>
                <w:szCs w:val="22"/>
                <w:highlight w:val="none"/>
                <w:lang w:val="en-US" w:eastAsia="zh-CN" w:bidi="ar"/>
              </w:rPr>
              <w:t xml:space="preserve">A区特藏库房建设</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一</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w:t>
            </w:r>
            <w:r/>
          </w:p>
          <w:p>
            <w:pPr>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特藏库功能：</w:t>
            </w:r>
            <w:r>
              <w:rPr>
                <w:rFonts w:hint="eastAsia" w:ascii="宋体" w:hAnsi="宋体" w:cs="宋体"/>
                <w:color w:val="auto"/>
                <w:sz w:val="22"/>
                <w:szCs w:val="22"/>
                <w:highlight w:val="none"/>
                <w:lang w:eastAsia="zh-CN" w:bidi="ar"/>
              </w:rPr>
              <w:t xml:space="preserve">特藏库房坐落于档案馆三层，建筑面积约650平方米（其中展陈布局面积约占400平方米，其余为特殊载体密集架使用面积），作为馆内核心功能区域，是珍藏珍贵、稀有及较高历史价值档案的专业库房，兼具档案保存与历史文化展示双重功能。其功能设计按照“十防”严格要求，深度契合档案长期保存、严密安全防护、科学高效管理及便捷服务利用等多元需求，构建起全方位、全周期的档案管护体系。</w:t>
            </w:r>
            <w:r/>
          </w:p>
          <w:p>
            <w:pPr>
              <w:shd w:val="clear" w:color="auto"/>
              <w:rPr>
                <w:rFonts w:hint="eastAsia" w:ascii="宋体" w:hAnsi="宋体" w:cs="宋体"/>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2.</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设施布局设计：</w:t>
            </w:r>
            <w:r>
              <w:rPr>
                <w:rFonts w:hint="eastAsia" w:ascii="宋体" w:hAnsi="宋体" w:cs="宋体"/>
                <w:color w:val="auto"/>
                <w:sz w:val="22"/>
                <w:szCs w:val="22"/>
                <w:highlight w:val="none"/>
                <w:lang w:eastAsia="zh-CN" w:bidi="ar"/>
              </w:rPr>
              <w:t xml:space="preserve">根据“（一）特藏库设施布局部分”特藏库</w:t>
            </w:r>
            <w:r>
              <w:rPr>
                <w:rFonts w:hint="eastAsia" w:ascii="宋体" w:hAnsi="宋体" w:cs="宋体"/>
                <w:color w:val="auto"/>
                <w:sz w:val="22"/>
                <w:szCs w:val="22"/>
                <w:highlight w:val="none"/>
                <w:lang w:val="en-US" w:eastAsia="zh-CN" w:bidi="ar"/>
              </w:rPr>
              <w:t xml:space="preserve">功能、</w:t>
            </w:r>
            <w:r>
              <w:rPr>
                <w:rFonts w:hint="eastAsia" w:ascii="宋体" w:hAnsi="宋体" w:cs="宋体"/>
                <w:color w:val="auto"/>
                <w:sz w:val="22"/>
                <w:szCs w:val="22"/>
                <w:highlight w:val="none"/>
                <w:lang w:eastAsia="zh-CN" w:bidi="ar"/>
              </w:rPr>
              <w:t xml:space="preserve">清单内容及图纸进行特藏库</w:t>
            </w:r>
            <w:r>
              <w:rPr>
                <w:rFonts w:hint="eastAsia" w:ascii="宋体" w:hAnsi="宋体" w:cs="宋体"/>
                <w:color w:val="auto"/>
                <w:sz w:val="22"/>
                <w:szCs w:val="22"/>
                <w:highlight w:val="none"/>
                <w:lang w:val="en-US" w:eastAsia="zh-CN" w:bidi="ar"/>
              </w:rPr>
              <w:t xml:space="preserve">设施布局</w:t>
            </w:r>
            <w:r>
              <w:rPr>
                <w:rFonts w:hint="eastAsia" w:ascii="宋体" w:hAnsi="宋体" w:cs="宋体"/>
                <w:color w:val="auto"/>
                <w:sz w:val="22"/>
                <w:szCs w:val="22"/>
                <w:highlight w:val="none"/>
                <w:lang w:eastAsia="zh-CN" w:bidi="ar"/>
              </w:rPr>
              <w:t xml:space="preserve">设计，出具</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深化</w:t>
            </w:r>
            <w:r>
              <w:rPr>
                <w:rFonts w:hint="eastAsia" w:ascii="宋体" w:hAnsi="宋体" w:cs="宋体"/>
                <w:color w:val="auto"/>
                <w:sz w:val="22"/>
                <w:szCs w:val="22"/>
                <w:highlight w:val="none"/>
                <w:lang w:val="en-US" w:eastAsia="zh-CN" w:bidi="ar"/>
              </w:rPr>
              <w:t xml:space="preserve">设计</w:t>
            </w:r>
            <w:r>
              <w:rPr>
                <w:rFonts w:hint="eastAsia" w:ascii="宋体" w:hAnsi="宋体" w:cs="宋体"/>
                <w:color w:val="auto"/>
                <w:sz w:val="22"/>
                <w:szCs w:val="22"/>
                <w:highlight w:val="none"/>
                <w:lang w:eastAsia="zh-CN" w:bidi="ar"/>
              </w:rPr>
              <w:t xml:space="preserve">图纸和设计效果图（包含且不限于：参观路线、</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形式）。</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eastAsia="zh-CN" w:bidi="ar"/>
              </w:rPr>
              <w:t xml:space="preserve">（三）特藏库</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设计方案</w:t>
            </w:r>
            <w:r>
              <w:rPr>
                <w:rFonts w:hint="eastAsia" w:ascii="宋体" w:hAnsi="宋体" w:cs="宋体"/>
                <w:color w:val="auto"/>
                <w:sz w:val="22"/>
                <w:szCs w:val="22"/>
                <w:highlight w:val="none"/>
                <w:lang w:val="en-US" w:eastAsia="zh-CN" w:bidi="ar"/>
              </w:rPr>
              <w:t xml:space="preserve">需求”。</w:t>
            </w:r>
            <w:r/>
          </w:p>
          <w:p>
            <w:pP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石膏板天花</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#1.轻钢承载龙骨≥CS50x15mm，中距≤1200mm，用吊件与通丝吊杆连接，调平；轻钢覆面次龙骨≥CB50x19mm，中距≥400mm*600mm，用挂件与承载龙骨连接</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#2.≥9.5mm厚纸面石膏板，用自攻螺丝及白乳胶错缝粘钉于覆面龙骨，螺钉中距</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200mm、距板边≥15mm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#3.刮嵌缝腻子、抹钉眼、贴嵌缝带；涂刷108建筑胶水1遍；满刮腻子3遍找平；刷乳胶漆3遍。</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铝方通装饰吊顶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#1.方通专用吊筋及龙骨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#2.规格≥50mm*100mm*0.5mm@100mm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#3.原顶面喷黑处理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180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基础墙体</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#1.轻钢龙骨基础≥400mm*600mm；单层≥5mm阻燃夹板+12mm厚纸面石膏板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#2.满批腻子3遍，打磨后滚涂底漆或基膜，立体UV底纹宣绒墙布</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#3.根据原特藏库房区域照明及强电拆除绝缘封堵及原照明控制回路改造调整。</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玄关背景墙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#1.75系列轻钢龙骨骨架搭建，整体加固处理与原始顶地相连；</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9mm阻燃板+9.5mm石膏板封板；局部造型处理和制作。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#2.满批腻子3遍，打磨后滚涂底漆或基膜；局部立体UV底纹宣绒墙布、艺术漆等。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强电改造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根据原特藏库房区域照明及强电拆除绝缘封堵及原照明控制回路改造调整。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#1.名称：单联单控开关。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#1.名称：单相五孔插座。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JDG</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#4.配置形式：墙面开槽暗布/顶内暗布。</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布线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BV-2.5mm2。</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1395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#1.功率：</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15W</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#2色温：</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3000K；CRI</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90</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#3.灯具颜色：黑色/白色；IP20。</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#4.调光方式：单灯调光；配光：5°~60°。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部分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#1.展板边框材质：6063-T5工业铝合金（GB/T 5237标准）壁厚：≥2.0mm，表面处理：哑光阳极氧化（膜厚≥AA15级）或电泳涂层（膜厚≥18μm）。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w:t>
            </w:r>
            <w:r>
              <w:rPr>
                <w:rStyle w:val="1207"/>
                <w:color w:val="auto"/>
                <w:highlight w:val="none"/>
                <w:lang w:eastAsia="zh-CN" w:bidi="ar"/>
              </w:rPr>
              <w:t xml:space="preserve">‌</w:t>
            </w:r>
            <w:r>
              <w:rPr>
                <w:rFonts w:hint="eastAsia" w:ascii="宋体" w:hAnsi="宋体" w:cs="宋体"/>
                <w:color w:val="auto"/>
                <w:sz w:val="22"/>
                <w:szCs w:val="22"/>
                <w:highlight w:val="none"/>
                <w:lang w:eastAsia="zh-CN" w:bidi="ar"/>
              </w:rPr>
              <w:t xml:space="preserve">2.面板基材</w:t>
            </w:r>
            <w:r>
              <w:rPr>
                <w:rStyle w:val="1207"/>
                <w:color w:val="auto"/>
                <w:highlight w:val="none"/>
                <w:lang w:eastAsia="zh-CN" w:bidi="ar"/>
              </w:rPr>
              <w:t xml:space="preserve">‌</w:t>
            </w:r>
            <w:r>
              <w:rPr>
                <w:rFonts w:hint="eastAsia" w:ascii="宋体" w:hAnsi="宋体" w:cs="宋体"/>
                <w:color w:val="auto"/>
                <w:sz w:val="22"/>
                <w:szCs w:val="22"/>
                <w:highlight w:val="none"/>
                <w:lang w:eastAsia="zh-CN" w:bidi="ar"/>
              </w:rPr>
              <w:t xml:space="preserve">类型：高密度PVC发泡板（密度≥0.55g/cm³）或博物馆级无酸宣绒布厚度：15±0.5mm，画面彩色不掉色墨水高精度UV。</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w:t>
            </w:r>
            <w:r>
              <w:rPr>
                <w:rStyle w:val="1207"/>
                <w:color w:val="auto"/>
                <w:highlight w:val="none"/>
                <w:lang w:eastAsia="zh-CN" w:bidi="ar"/>
              </w:rPr>
              <w:t xml:space="preserve">‌</w:t>
            </w:r>
            <w:r>
              <w:rPr>
                <w:rFonts w:hint="eastAsia" w:ascii="宋体" w:hAnsi="宋体" w:cs="宋体"/>
                <w:color w:val="auto"/>
                <w:sz w:val="22"/>
                <w:szCs w:val="22"/>
                <w:highlight w:val="none"/>
                <w:lang w:eastAsia="zh-CN" w:bidi="ar"/>
              </w:rPr>
              <w:t xml:space="preserve">立体字主体材料：高透亚克力（PMMA）或6061铝合金（厚度≥3mm，TVOC释放≤0.5mg/m³），表面哑光UV涂层处理（防反光，ΔE色差≤1.5）。字体厚度：30mm，边缘倒角R≤1mm防止划伤，拼缝间隙≤0.8mm。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（二）魔法墙交互</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吊架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#1.金属材质\长度可调节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#2金属烤漆白色或黑色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#3管内直径：</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40mm长度80cm-150cm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高清信号传输设备</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rPr>
              <w:t xml:space="preserve">#1.分辨率</w:t>
            </w:r>
            <w:r>
              <w:rPr>
                <w:rFonts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4K2K@60Hz(4</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0)/4K2K@30Hz,向下兼容</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#2.1920*1200@60Hz/1080P@60Hz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2.7.1声道和LPCM/DTS-HD Master Audio</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#3.EDID&amp;HDCP透传，可以兼容各种HDMI设备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#4.RS232透传，波特率范围110~115200bps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#5.符合HDMI2.0和HDCP2.2标准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雷达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#1.感应面积：手掌触控</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#2.定位技术：计算机视觉传感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#3.操作方式：手掌或非透明物体（不含黑色）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#4.定位方式：自动标定\手动标定\鼠标标定\异形标定</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#5.触控精度：≤1mm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#6.误差触控帧率：60FPS\75FPS\166FPS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#7.触控点数：≥30点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#2.输入电压：70V-110</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#3.频率响应：110-1300Hz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#4.灵敏度：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92dB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#5.扬声器：6.5”</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#1.额定功率：≥350W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#2.五路五级独立音量控制的分区输出，每路分区音量自由控制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#3.一路总音量控制，三路线路输入，二路话筒输入，其中一路话筒自带默音功能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#4.高低音调节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#5.带提示音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#6.过热\过载\短路保护等</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#7.带USB/SD插口</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#8.FM收音\MP3格式文件播放\暂停播放等功能</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交互设计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#1.TCP/UDP网络通讯。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#2.交互脚本设定二级感应区域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#3.根据交互脚本制作UI界面及相应元素设计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#4.根据展厅风格设计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#5.唤醒触发及响应方式设计制作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#6.程序框架制作</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#1.待机界面背景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#2.待机界面触控区域元素、提示指令元素</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#3.内容展示界面背景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#4.内容展示界面展示图</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#5.内容展示界面触控区域元素\提示指令元素。</w:t>
            </w:r>
            <w:r>
              <w:rPr>
                <w:rFonts w:ascii="宋体" w:hAnsi="宋体" w:cs="宋体"/>
                <w:color w:val="auto"/>
                <w:sz w:val="22"/>
                <w:szCs w:val="22"/>
                <w:highlight w:val="none"/>
                <w:lang w:eastAsia="zh-CN"/>
              </w:rPr>
              <w:br/>
            </w:r>
            <w:r>
              <w:rPr>
                <w:rFonts w:ascii="宋体" w:hAnsi="宋体" w:cs="宋体"/>
                <w:color w:val="auto"/>
                <w:sz w:val="22"/>
                <w:szCs w:val="22"/>
                <w:highlight w:val="none"/>
              </w:rPr>
              <w:t xml:space="preserve">#6.素材的查找\处理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#1.内容页面转场动效，页面引导动效</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#2.展示动效等动效设计及制作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#3.素材资料收及及风格策划</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#4.三维动画、特效制作、渲染调色、剪辑合成</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（三）大屏播放系统</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视频处理器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#1.输入分辨率≥1920×1080@60Hz。</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#2.3画面输出\位置\大小自由调节。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#3.视频源任意切换\裁剪\缩放。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#4.HDCP高带宽数字内容保护技术。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#5.USB/RS232接口控制输入：DVI×2 HDMI×1。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钢结构</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#1、类别：≥20mm*40mm制作镀锌方管支架\装饰包边。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#1.额定/功率：≥30W。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#2.输入电压：70V-110。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#3.灵敏度：92dB。</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#4.扬声器：6.5”。</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#1.额定功率：≥350W。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#2.五路五级独立音量控制的分区输出，每路分区音量自由控制。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#3.一路总音量控制，三路线路输入，二路话筒输入，其中一路话筒自带默音功能。</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#4.高低音调节。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#5.带提示音。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#6.过热\过载\短路保护等。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#7.带USB/SD插口。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#8.FM收音\MP3格式文件播放\暂停播放等功能。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播放程序</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#4.接收来自展厅边缘节点的指令。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#5.根据节点展厅管理员要求推送指定资源更新。</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#6.客户端主机状态上报节点。</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#7.主题切换和待机图片和动画的切换控制。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#8.配置展现串联内容间的延迟暂停指定间隔。</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#9.设置展示端的定时任务定时展示指定内容，循环展示某一个或者一组展示内容。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动画展示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#1内容页面转场动效，页面引导动效。</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#2.展示动效等动效设计及制作。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#3.素材资料收及及风格策划。</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#4.三维动画、特效制作、渲染调色、剪辑合成。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（四）触摸查询交互系统</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（五）中控系统</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键盘鼠标套装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#1.USB接口。</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智能控制模块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#1.控制方式：面板控制、电脑控制、电脑定时、中控控制。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#2.面板控制：一键延时启停,紧急停止,模式切换，单键单元控制。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#3.电脑控制：可一键延时启停，单路启停，紧急停止。对功率、温度、烟雾等状态实时检测，并保存操作记录，报警记录。</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#4.电脑定时：每天可设置最多4组时间段，按星期启停。定好时间后，支持脱机定时运行。</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#5.中控控制：提供MODBUS-RTU、MODBUS-TCP、MODBUS-UDP协议。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#6.自动联机，直接操作，不用人工设置。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#7.配有应急启动模块（QN-Smart/007），PLC故障应急使用。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#8.保护内容：1）零线电缆高温保护、2）高温断电保护、3）短路保护、4）烟雾保护。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#9.输入电压：380 V，三相五线。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#10.输出电压：220 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#11.回路状态监测：双回路。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#12.远程控制：有。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#13.零地排：8位铜排×1。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手持平板终端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#1.屏幕尺寸≥10.2寸，内存≥64G。</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网络交换机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#1.≥24个自适应千兆电口，≥4个千兆光口。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#2.支持交换容量≥336Gbps，包转发率≥132Mpps。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#3.符合IEEE 802.3，IEEE 802.3u，IEEE 802.3x，IEEE 802.3ab，IEEE 802.3z，IEEE 802.3ad通信标准。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#4.支持工作温度-10℃～55℃。</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#5.以端口能力100%发送数据时，不发生丢包。</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#6.雷电防护支持共模2KV、差模1KV。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#7.支持静态链路聚合支持LACP。</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#8.包转发速率在不同帧长度下均能以线速转发数据帧。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#9.在30s内按不同帧长度下的吞吐量均为100%。</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无线AP</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#1.传输协议2.4GHz频段802.11/b/g/n，5G频段802.11a/b/g/n/ac Wave1/Wave2。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#2.空间流数2.4GHz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#3.5GHz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#4.传输速率2.4GHz 300Mbps；5GHz 867Mbps。整机1167Mbps。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#5.业务端口1个10/100/1000Mbps自协商以太网口，PoE受电。</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#6.1个DC电源接口。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#7.1个Reset复位接口。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#8.供电方式802.3af/802.3at兼容供电。</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AC管理器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#1.路由器类型上网行为管理路由器，企业级路由器，VPN路由器。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#2.网络标准802.11a/n/ac和802.11b/g/n同时工作。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#3.网络协议DHCP Relay。</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#4.传输速率10/100/1000Mbps。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#5.广域网接口≥1个。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#6.局域网接口≥4个。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#7.扩展模块≥200台。</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中控系统</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#1.智能中控系统采用物联网框架结构，分为连接层\感知层和智能处理层。物联网中控系统具备高稳定性和可扩展性。</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#2.网络连接运用TCP/IP\WebSocket\Zigbee\Wifi等标准物联网连接协议。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#3.系统各类感应设备互联，连接中控系统的设备具有唯一ID识别。</w:t>
            </w:r>
            <w:r/>
          </w:p>
        </w:tc>
        <w:tc>
          <w:tcPr>
            <w:shd w:val="clear" w:color="auto" w:fill="ffffff"/>
            <w:tcW w:w="683"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项</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738"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中控系统</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#1.可以控制设备开关机\内容播放及各类展示控制。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央控制软件核心架构，特藏库展区实现设备“一键”开启功能，包括：灯光开关控制、投影机、触摸屏、电脑等设备开关机单独控制，影片播放、暂定、停止的开启关闭等通过中控集成系统，合理有效的管理。实现使用一台手持平板终端控制后台程序。</w:t>
            </w:r>
            <w:r/>
          </w:p>
        </w:tc>
        <w:tc>
          <w:tcPr>
            <w:shd w:val="clear" w:color="auto" w:fill="ffffff"/>
            <w:tcW w:w="360" w:type="pct"/>
            <w:vAlign w:val="center"/>
            <w:vMerge w:val="continue"/>
            <w:textDirection w:val="lrTb"/>
            <w:noWrap w:val="false"/>
          </w:tcPr>
          <w:p>
            <w:r/>
          </w:p>
        </w:tc>
        <w:tc>
          <w:tcPr>
            <w:shd w:val="clear" w:color="auto" w:fill="ffffff"/>
            <w:tcW w:w="389" w:type="pct"/>
            <w:vAlign w:val="center"/>
            <w:vMerge w:val="continue"/>
            <w:textDirection w:val="lrTb"/>
            <w:noWrap w:val="false"/>
          </w:tcPr>
          <w:p>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辅材</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#1、名称：穿管布管线。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#2、规格：6类网线、卡侬焊接头，插线板，3.5音频，标签纸，轧带，螺钉，胶水，绝缘胶，水晶头等所必须的辅材与其它线材。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（六）展柜</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w:t>
            </w:r>
            <w:r>
              <w:rPr>
                <w:rFonts w:hint="eastAsia" w:ascii="宋体" w:hAnsi="宋体" w:cs="宋体"/>
                <w:color w:val="auto"/>
                <w:sz w:val="22"/>
                <w:szCs w:val="22"/>
                <w:highlight w:val="none"/>
                <w:lang w:val="en-US" w:eastAsia="zh-CN"/>
              </w:rPr>
              <w:t xml:space="preserve">140</w:t>
            </w:r>
            <w:r>
              <w:rPr>
                <w:rFonts w:ascii="宋体" w:hAnsi="宋体" w:cs="宋体"/>
                <w:color w:val="auto"/>
                <w:sz w:val="22"/>
                <w:szCs w:val="22"/>
                <w:highlight w:val="none"/>
                <w:lang w:eastAsia="zh-CN"/>
              </w:rPr>
              <w:t xml:space="preserve">lm/W，显色指数Ra≥</w:t>
            </w:r>
            <w:r>
              <w:rPr>
                <w:rFonts w:hint="eastAsia" w:ascii="宋体" w:hAnsi="宋体" w:cs="宋体"/>
                <w:color w:val="auto"/>
                <w:sz w:val="22"/>
                <w:szCs w:val="22"/>
                <w:highlight w:val="none"/>
                <w:lang w:val="en-US" w:eastAsia="zh-CN"/>
              </w:rPr>
              <w:t xml:space="preserve">90</w:t>
            </w:r>
            <w:r>
              <w:rPr>
                <w:rFonts w:ascii="宋体" w:hAnsi="宋体" w:cs="宋体"/>
                <w:color w:val="auto"/>
                <w:sz w:val="22"/>
                <w:szCs w:val="22"/>
                <w:highlight w:val="none"/>
                <w:lang w:eastAsia="zh-CN"/>
              </w:rPr>
              <w:t xml:space="preserve">，色温差≤150K。</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#6.防盗锁具：专用防盗锁具采用耐磨密封件，适配博物馆长期低频次启闭需求，确保使用寿命。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墙体展示柜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#1.柜体骨架主体结构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示柜整体框架采用优质冷拔钢管型材经切割、钝化、调直、表校、胎具校正后采用气体保护焊焊接（焊口无氧化现象）增加焊接强度，焊接成形后，用专业设备磨平打光，防锈处理后采用静电高温喷涂工艺，柜体结构水平及垂直度±2mm，并设计有水平调节装置。</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#2.展柜结构用铝型材及边框材料制作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工艺：展柜使用型材与玻璃连接部分的结构符合高性能展柜的要求，壁厚≥3mm优质铝合金专用型材，挤压成型。</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#3.展示柜箱体饰面</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w:t>
            </w:r>
            <w:r>
              <w:rPr>
                <w:rFonts w:ascii="宋体" w:hAnsi="宋体" w:cs="宋体"/>
                <w:color w:val="auto"/>
                <w:sz w:val="22"/>
                <w:szCs w:val="22"/>
                <w:highlight w:val="none"/>
              </w:rPr>
              <w:t xml:space="preserve">δ</w:t>
            </w:r>
            <w:r>
              <w:rPr>
                <w:rFonts w:ascii="宋体" w:hAnsi="宋体" w:cs="宋体"/>
                <w:color w:val="auto"/>
                <w:sz w:val="22"/>
                <w:szCs w:val="22"/>
                <w:highlight w:val="none"/>
                <w:lang w:eastAsia="zh-CN"/>
              </w:rPr>
              <w:t xml:space="preserve">1.5mm优质冷轧钢板，经剪切、开槽、冲孔、去角、折弯等专业设备成型后，与龙骨连接采用气体保护焊焊接，采用静电喷涂工艺，将塑粉喷涂在冷轧钢板上，通过200度高温将塑粉融化在冷轧钢板上，形成一体，坚固而平滑，柜体结构水平及垂直度±≤2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#4.展柜表面及颜色处理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工艺：采用静电喷涂工艺，颜色可根据用户要求进行电子调色制作。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静电喷涂前对展柜表面平整度、漏磨处进行检验。涂层均匀，厚度≥50um，表面无漏青、无桔皮、无褶皱、无划伤等现象。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#5.展示柜用玻璃部分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工艺：成品展柜采用防紫外线，≥6mm+0.76PVB+6mm夹胶玻璃</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经高压釜高温成型，经设备切割、磨边、精磨、抛光。磨边规格为0.7mm×0.7mm。外露角为安全倒角处理。可阻挡99%的紫外光，透光率达到≥95%。</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#6.展示柜开启系统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#7.展示柜开启方式：手动开启</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#8.展柜中所使用的喷漆、粘接剂、装饰布等为环保材料，不会散发有害气体污染展品和展厅空气环境。</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展柜内壁板包亚麻布等所有用材均采用环保型材料，展柜的外围材料均为非燃烧性材料，保证展柜的防火性能。</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#9.展柜整体密闭性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型材密封：整体密闭型结构，展柜密封性能良好，无漏光现象。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展柜密封采用专用双组密封胶和硅胶密封条密封，保证其密闭性：展示空间空气交换次数≤0.5次/天。</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#10.灯光：顶光采用顶部小射灯+LED洗墙灯。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小射灯对平面的三维展品进行聚焦性的点光重点照明。保证聚焦性；同时光束角可调节，保证灵活多变。</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色温3000K或者4000K。光源寿命不低于50000小时。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#11.展柜固定地脚</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地脚功能：调节脚安装在箱体底部，箱体摆位后地脚接触地面，使箱体更稳固摆放在地面。（可调节水平、调整箱体高度）。展柜柜底全封闭结构。</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3" w:name="三、C区临展馆"/>
            <w:r>
              <w:rPr>
                <w:rFonts w:hint="eastAsia" w:ascii="宋体" w:hAnsi="宋体" w:cs="宋体"/>
                <w:b/>
                <w:bCs/>
                <w:color w:val="auto"/>
                <w:sz w:val="22"/>
                <w:szCs w:val="22"/>
                <w:highlight w:val="none"/>
                <w:lang w:val="en-US" w:eastAsia="zh-CN" w:bidi="ar"/>
              </w:rPr>
              <w:t xml:space="preserve">三</w:t>
            </w:r>
            <w:r>
              <w:rPr>
                <w:rFonts w:hint="eastAsia" w:ascii="宋体" w:hAnsi="宋体" w:cs="宋体"/>
                <w:b/>
                <w:bCs/>
                <w:color w:val="auto"/>
                <w:sz w:val="22"/>
                <w:szCs w:val="22"/>
                <w:highlight w:val="none"/>
                <w:lang w:eastAsia="zh-CN" w:bidi="ar"/>
              </w:rPr>
              <w:t xml:space="preserve">、C区临展</w:t>
            </w:r>
            <w:r>
              <w:rPr>
                <w:rFonts w:hint="eastAsia" w:ascii="宋体" w:hAnsi="宋体" w:cs="宋体"/>
                <w:b/>
                <w:bCs/>
                <w:color w:val="auto"/>
                <w:sz w:val="22"/>
                <w:szCs w:val="22"/>
                <w:highlight w:val="none"/>
                <w:lang w:eastAsia="zh-CN" w:bidi="ar"/>
              </w:rPr>
              <w:t xml:space="preserve">厅</w:t>
            </w:r>
            <w:bookmarkEnd w:id="73"/>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临展</w:t>
            </w:r>
            <w:r>
              <w:rPr>
                <w:rFonts w:hint="eastAsia" w:ascii="宋体" w:hAnsi="宋体" w:cs="宋体"/>
                <w:b/>
                <w:bCs/>
                <w:color w:val="auto"/>
                <w:sz w:val="22"/>
                <w:szCs w:val="22"/>
                <w:highlight w:val="none"/>
                <w:lang w:eastAsia="zh-CN" w:bidi="ar"/>
              </w:rPr>
              <w:t xml:space="preserve">厅</w:t>
            </w:r>
            <w:r>
              <w:rPr>
                <w:rFonts w:hint="eastAsia" w:ascii="宋体" w:hAnsi="宋体" w:cs="宋体"/>
                <w:b/>
                <w:bCs/>
                <w:color w:val="auto"/>
                <w:sz w:val="22"/>
                <w:szCs w:val="22"/>
                <w:highlight w:val="none"/>
                <w:lang w:eastAsia="zh-CN" w:bidi="ar"/>
              </w:rPr>
              <w:t xml:space="preserve">功能：</w:t>
            </w:r>
            <w:r>
              <w:rPr>
                <w:rFonts w:hint="eastAsia" w:ascii="宋体" w:hAnsi="宋体" w:cs="宋体"/>
                <w:color w:val="auto"/>
                <w:sz w:val="22"/>
                <w:szCs w:val="22"/>
                <w:highlight w:val="none"/>
                <w:lang w:eastAsia="zh-CN" w:bidi="ar"/>
              </w:rPr>
              <w:t xml:space="preserve">临展</w:t>
            </w:r>
            <w:r>
              <w:rPr>
                <w:rFonts w:hint="eastAsia" w:ascii="宋体" w:hAnsi="宋体" w:cs="宋体"/>
                <w:color w:val="auto"/>
                <w:sz w:val="22"/>
                <w:szCs w:val="22"/>
                <w:highlight w:val="none"/>
                <w:lang w:eastAsia="zh-CN" w:bidi="ar"/>
              </w:rPr>
              <w:t xml:space="preserve">厅</w:t>
            </w:r>
            <w:r>
              <w:rPr>
                <w:rFonts w:hint="eastAsia" w:ascii="宋体" w:hAnsi="宋体" w:cs="宋体"/>
                <w:color w:val="auto"/>
                <w:sz w:val="22"/>
                <w:szCs w:val="22"/>
                <w:highlight w:val="none"/>
                <w:lang w:eastAsia="zh-CN" w:bidi="ar"/>
              </w:rPr>
              <w:t xml:space="preserve">坐落于档案馆</w:t>
            </w:r>
            <w:r>
              <w:rPr>
                <w:rFonts w:ascii="宋体" w:hAnsi="宋体" w:cs="宋体"/>
                <w:color w:val="auto"/>
                <w:sz w:val="22"/>
                <w:szCs w:val="22"/>
                <w:highlight w:val="none"/>
                <w:lang w:eastAsia="zh-CN" w:bidi="ar"/>
              </w:rPr>
              <w:t xml:space="preserve">一</w:t>
            </w:r>
            <w:r>
              <w:rPr>
                <w:rFonts w:hint="eastAsia" w:ascii="宋体" w:hAnsi="宋体" w:cs="宋体"/>
                <w:color w:val="auto"/>
                <w:sz w:val="22"/>
                <w:szCs w:val="22"/>
                <w:highlight w:val="none"/>
                <w:lang w:eastAsia="zh-CN" w:bidi="ar"/>
              </w:rPr>
              <w:t xml:space="preserve">层，建筑面积约</w:t>
            </w:r>
            <w:r>
              <w:rPr>
                <w:rFonts w:ascii="宋体" w:hAnsi="宋体" w:cs="宋体"/>
                <w:color w:val="auto"/>
                <w:sz w:val="22"/>
                <w:szCs w:val="22"/>
                <w:highlight w:val="none"/>
                <w:lang w:eastAsia="zh-CN" w:bidi="ar"/>
              </w:rPr>
              <w:t xml:space="preserve">117</w:t>
            </w:r>
            <w:r>
              <w:rPr>
                <w:rFonts w:hint="eastAsia" w:ascii="宋体" w:hAnsi="宋体" w:cs="宋体"/>
                <w:color w:val="auto"/>
                <w:sz w:val="22"/>
                <w:szCs w:val="22"/>
                <w:highlight w:val="none"/>
                <w:lang w:eastAsia="zh-CN" w:bidi="ar"/>
              </w:rPr>
              <w:t xml:space="preserve">平方米，作为馆内主题展示与灵活</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核心区域，可承载专题档案、临时展览、文化交流等多元展示功能，具有主题的临时展示陈列,其主要功能保持不变,包括顶部空间、要有主题风格背景玄关，展墙、灯光、线路、独立展示柜，所有制作安装含主题标题立体字等，展示墙体具有重复使主题和功能使用，配合消防、暖通</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安装。</w:t>
            </w:r>
            <w:r/>
          </w:p>
          <w:p>
            <w:pPr>
              <w:jc w:val="both"/>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2、临展厅布局设计</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eastAsia="zh-CN"/>
              </w:rPr>
              <w:t xml:space="preserve">根据“</w:t>
            </w:r>
            <w:r>
              <w:rPr>
                <w:rFonts w:hint="eastAsia" w:ascii="宋体" w:hAnsi="宋体" w:cs="宋体"/>
                <w:color w:val="auto"/>
                <w:sz w:val="22"/>
                <w:szCs w:val="22"/>
                <w:highlight w:val="none"/>
                <w:lang w:val="en-US" w:eastAsia="zh-CN"/>
              </w:rPr>
              <w:t xml:space="preserve">三</w:t>
            </w:r>
            <w:r>
              <w:rPr>
                <w:rFonts w:hint="eastAsia" w:ascii="宋体" w:hAnsi="宋体" w:cs="宋体"/>
                <w:color w:val="auto"/>
                <w:sz w:val="22"/>
                <w:szCs w:val="22"/>
                <w:highlight w:val="none"/>
                <w:lang w:eastAsia="zh-CN"/>
              </w:rPr>
              <w:t xml:space="preserve">、C区临展区”临展</w:t>
            </w:r>
            <w:r>
              <w:rPr>
                <w:rFonts w:hint="eastAsia" w:ascii="宋体" w:hAnsi="宋体" w:cs="宋体"/>
                <w:color w:val="auto"/>
                <w:sz w:val="22"/>
                <w:szCs w:val="22"/>
                <w:highlight w:val="none"/>
                <w:lang w:eastAsia="zh-CN"/>
              </w:rPr>
              <w:t xml:space="preserve">厅</w:t>
            </w:r>
            <w:r>
              <w:rPr>
                <w:rFonts w:hint="eastAsia" w:ascii="宋体" w:hAnsi="宋体" w:cs="宋体"/>
                <w:color w:val="auto"/>
                <w:sz w:val="22"/>
                <w:szCs w:val="22"/>
                <w:highlight w:val="none"/>
                <w:lang w:eastAsia="zh-CN"/>
              </w:rPr>
              <w:t xml:space="preserve">功能、清单内容与图纸</w:t>
            </w:r>
            <w:r>
              <w:rPr>
                <w:rFonts w:hint="eastAsia" w:ascii="宋体" w:hAnsi="宋体" w:cs="宋体"/>
                <w:color w:val="auto"/>
                <w:sz w:val="22"/>
                <w:szCs w:val="22"/>
                <w:highlight w:val="none"/>
                <w:lang w:val="en-US" w:eastAsia="zh-CN"/>
              </w:rPr>
              <w:t xml:space="preserve">进行临展厅布局设计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出具</w:t>
            </w:r>
            <w:r>
              <w:rPr>
                <w:rFonts w:hint="eastAsia" w:ascii="宋体" w:hAnsi="宋体" w:cs="宋体"/>
                <w:color w:val="auto"/>
                <w:sz w:val="22"/>
                <w:szCs w:val="22"/>
                <w:highlight w:val="none"/>
                <w:lang w:val="en-US" w:eastAsia="zh-CN"/>
              </w:rPr>
              <w:t xml:space="preserve">布局</w:t>
            </w:r>
            <w:r>
              <w:rPr>
                <w:rFonts w:hint="eastAsia" w:ascii="宋体" w:hAnsi="宋体" w:cs="宋体"/>
                <w:color w:val="auto"/>
                <w:sz w:val="22"/>
                <w:szCs w:val="22"/>
                <w:highlight w:val="none"/>
                <w:lang w:eastAsia="zh-CN"/>
              </w:rPr>
              <w:t xml:space="preserve">深化设计图纸和设计效果图（</w:t>
            </w:r>
            <w:r>
              <w:rPr>
                <w:rFonts w:hint="eastAsia" w:ascii="宋体" w:hAnsi="宋体" w:cs="宋体"/>
                <w:color w:val="auto"/>
                <w:sz w:val="22"/>
                <w:szCs w:val="22"/>
                <w:highlight w:val="none"/>
                <w:lang w:eastAsia="zh-CN" w:bidi="ar"/>
              </w:rPr>
              <w:t xml:space="preserve">包含且不限于：</w:t>
            </w:r>
            <w:r>
              <w:rPr>
                <w:rFonts w:hint="eastAsia" w:ascii="宋体" w:hAnsi="宋体" w:cs="宋体"/>
                <w:color w:val="auto"/>
                <w:sz w:val="22"/>
                <w:szCs w:val="22"/>
                <w:highlight w:val="none"/>
                <w:lang w:eastAsia="zh-CN"/>
              </w:rPr>
              <w:t xml:space="preserve">场景图、平面布置图、俯视图）</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（四）临展厅布局设计方案需求”。</w:t>
            </w:r>
            <w:r/>
          </w:p>
          <w:p>
            <w:pPr>
              <w:jc w:val="both"/>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独立主题墙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主题风格背景玄关制作安装含主题立体字</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#1.总尺寸</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1100mm*3200mm*厚≥150mm。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侧面宽度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≥150mm，中间做内凹，整体混色烤漆，玄关上面的标题立体字≥15mm高密PVC整体烤漆无影胶安装。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#3.工艺要求整体国标≥1.0mm镀锌板材质、剪板折边、围边满焊打磨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数控高精度切割下料，确保切口水平。高级技工精心焊接/打磨/喷砂/混色多层喷涂工艺（底漆+面漆+清漆），漆膜厚度≥60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（依据EN ISO 4892-2标准），颜色稳定，不易粉化褪色。</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主题展墙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可重复使用主题性质展墙含展示画框等含画框画面制作安装。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#1.原墙面满批腻子3遍，打磨后滚涂底漆或基膜，UV底纹超宽幅宣绒墙布裁剪铺贴。</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可调节画作悬挂系统：轨道采用高强度航空级铝合金型材，表面阳极氧化处理，耐腐蚀、防氧化；单点承重≥50kg；水平方向无级滑动调节，垂直高度可调±150mm，支持多画框等距对齐；采用隐藏式轨道+精密挂钩系统，无需在墙面钻孔，支持石膏板、混凝土、木墙等多种基材；适配标准画框背框（含D型环、钢丝、木条背架），支持单幅、多幅、组合式布局</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99.05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强弱电改造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ascii="宋体" w:hAnsi="宋体" w:cs="宋体"/>
                <w:color w:val="auto"/>
                <w:sz w:val="22"/>
                <w:szCs w:val="22"/>
                <w:highlight w:val="none"/>
                <w:lang w:eastAsia="zh-CN"/>
              </w:rPr>
              <w:t xml:space="preserve">根据原</w:t>
            </w:r>
            <w:r>
              <w:rPr>
                <w:rFonts w:hint="eastAsia" w:ascii="宋体" w:hAnsi="宋体" w:cs="宋体"/>
                <w:color w:val="auto"/>
                <w:sz w:val="22"/>
                <w:szCs w:val="22"/>
                <w:highlight w:val="none"/>
                <w:lang w:eastAsia="zh-CN"/>
              </w:rPr>
              <w:t xml:space="preserve">临展厅</w:t>
            </w:r>
            <w:r>
              <w:rPr>
                <w:rFonts w:ascii="宋体" w:hAnsi="宋体" w:cs="宋体"/>
                <w:color w:val="auto"/>
                <w:sz w:val="22"/>
                <w:szCs w:val="22"/>
                <w:highlight w:val="none"/>
                <w:lang w:eastAsia="zh-CN"/>
              </w:rPr>
              <w:t xml:space="preserve">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#1.名称：单联单控开关。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#1.名称：单相五孔插座。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布管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#3.规格：≥JDG</w:t>
            </w:r>
            <w:r>
              <w:rPr>
                <w:rFonts w:ascii="宋体" w:hAnsi="宋体" w:cs="宋体"/>
                <w:color w:val="auto"/>
                <w:sz w:val="22"/>
                <w:szCs w:val="22"/>
                <w:highlight w:val="none"/>
              </w:rPr>
              <w:t xml:space="preserve">Φ</w:t>
            </w:r>
            <w:r>
              <w:rPr>
                <w:rFonts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#4.配置形式：墙面开槽暗布/顶内暗布</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布线</w:t>
            </w:r>
            <w:r/>
          </w:p>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#3.规格：≥BV-2.5mm²</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495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#1.功率：15W/20W。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#2.色温：3000K/3500K/4000K；CRI</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#3.灯具颜色：黑色/白色；IP20。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#4.调光方式：单灯调光；配光：5°~60°。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#5.照明系统：LED立杆门型灯带；光效≥120 lm/W，显色指数Ra≥70（白光光源Ra≥80可选），色温差≤150K。</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#6.防盗锁具：专用防盗锁具采用耐磨密封件，适配长期低频次启闭需求，确保使用寿命。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14</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bookmarkStart w:id="74" w:name="四、查档大厅及14层办公家具"/>
            <w:r>
              <w:rPr>
                <w:rFonts w:hint="eastAsia" w:ascii="宋体" w:hAnsi="宋体" w:cs="宋体"/>
                <w:b/>
                <w:bCs/>
                <w:color w:val="auto"/>
                <w:sz w:val="22"/>
                <w:szCs w:val="22"/>
                <w:highlight w:val="none"/>
                <w:lang w:val="en-US" w:eastAsia="zh-CN" w:bidi="ar"/>
              </w:rPr>
              <w:t xml:space="preserve">四、</w:t>
            </w:r>
            <w:r>
              <w:rPr>
                <w:rFonts w:hint="eastAsia" w:ascii="宋体" w:hAnsi="宋体" w:cs="宋体"/>
                <w:b/>
                <w:bCs/>
                <w:color w:val="auto"/>
                <w:sz w:val="22"/>
                <w:szCs w:val="22"/>
                <w:highlight w:val="none"/>
                <w:lang w:eastAsia="zh-CN" w:bidi="ar"/>
              </w:rPr>
              <w:t xml:space="preserve">查档大厅及1-4层办公家具</w:t>
            </w:r>
            <w:bookmarkEnd w:id="74"/>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查档大厅布局设计</w:t>
            </w:r>
            <w:r>
              <w:rPr>
                <w:rFonts w:hint="eastAsia" w:ascii="宋体" w:hAnsi="宋体" w:cs="宋体"/>
                <w:color w:val="auto"/>
                <w:sz w:val="22"/>
                <w:szCs w:val="22"/>
                <w:highlight w:val="none"/>
                <w:lang w:val="en-US" w:eastAsia="zh-CN"/>
              </w:rPr>
              <w:t xml:space="preserve">：根据“四、查档大厅办公家具”清单内容与图纸，结合大厅面积、结构特点，设计</w:t>
            </w:r>
            <w:r>
              <w:rPr>
                <w:rFonts w:hint="eastAsia" w:ascii="宋体" w:hAnsi="宋体" w:cs="宋体"/>
                <w:color w:val="auto"/>
                <w:sz w:val="22"/>
                <w:szCs w:val="22"/>
                <w:highlight w:val="none"/>
                <w:lang w:eastAsia="zh-CN"/>
              </w:rPr>
              <w:t xml:space="preserve">查档</w:t>
            </w:r>
            <w:r>
              <w:rPr>
                <w:rFonts w:hint="eastAsia" w:ascii="宋体" w:hAnsi="宋体" w:cs="宋体"/>
                <w:color w:val="auto"/>
                <w:sz w:val="22"/>
                <w:szCs w:val="22"/>
                <w:highlight w:val="none"/>
                <w:lang w:val="en-US" w:eastAsia="zh-CN"/>
              </w:rPr>
              <w:t xml:space="preserve">大厅区域</w:t>
            </w:r>
            <w:r>
              <w:rPr>
                <w:rFonts w:hint="eastAsia" w:ascii="宋体" w:hAnsi="宋体" w:cs="宋体"/>
                <w:color w:val="auto"/>
                <w:sz w:val="22"/>
                <w:szCs w:val="22"/>
                <w:highlight w:val="none"/>
                <w:lang w:val="en-US" w:eastAsia="zh-CN"/>
              </w:rPr>
              <w:t xml:space="preserve">空间功能布局、</w:t>
            </w:r>
            <w:r>
              <w:rPr>
                <w:rFonts w:ascii="宋体" w:hAnsi="宋体" w:cs="宋体"/>
                <w:color w:val="auto"/>
                <w:sz w:val="22"/>
                <w:szCs w:val="22"/>
                <w:highlight w:val="none"/>
                <w:lang w:eastAsia="zh-CN"/>
              </w:rPr>
              <w:t xml:space="preserve">动线</w:t>
            </w:r>
            <w:r>
              <w:rPr>
                <w:rFonts w:hint="eastAsia" w:ascii="宋体" w:hAnsi="宋体" w:cs="宋体"/>
                <w:color w:val="auto"/>
                <w:sz w:val="22"/>
                <w:szCs w:val="22"/>
                <w:highlight w:val="none"/>
                <w:lang w:val="en-US" w:eastAsia="zh-CN"/>
              </w:rPr>
              <w:t xml:space="preserve">设计，出具包括但不限于平面布局图、人流动线图、多角度设计效果图。</w:t>
            </w:r>
            <w:r>
              <w:rPr>
                <w:rFonts w:hint="eastAsia" w:ascii="宋体" w:hAnsi="宋体" w:cs="宋体"/>
                <w:color w:val="auto"/>
                <w:sz w:val="22"/>
                <w:szCs w:val="22"/>
                <w:highlight w:val="none"/>
                <w:lang w:val="en-US" w:eastAsia="zh-CN"/>
              </w:rPr>
              <w:t xml:space="preserve">具体方案设计需求详见“四、项目实施需求--（五）查档大厅及1-4层办公家具设计方案需求”。</w:t>
            </w:r>
            <w:r/>
          </w:p>
          <w:p>
            <w:pPr>
              <w:jc w:val="left"/>
              <w:shd w:val="clear" w:color="auto"/>
              <w:rPr>
                <w:rFonts w:hint="eastAsia" w:ascii="宋体" w:hAnsi="宋体" w:cs="宋体"/>
                <w:b/>
                <w:bCs/>
                <w:color w:val="auto"/>
                <w:sz w:val="22"/>
                <w:szCs w:val="22"/>
                <w:highlight w:val="none"/>
                <w:lang w:eastAsia="zh-CN" w:bidi="ar"/>
              </w:rPr>
            </w:pPr>
            <w:r>
              <w:rPr>
                <w:rFonts w:hint="eastAsia" w:ascii="宋体" w:hAnsi="宋体" w:cs="宋体"/>
                <w:color w:val="auto"/>
                <w:sz w:val="22"/>
                <w:szCs w:val="22"/>
                <w:highlight w:val="none"/>
                <w:lang w:val="en-US" w:eastAsia="zh-CN"/>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查档专用工作台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#1.规格：工作台</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1100mm×900mm，一台配两椅。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#2.基材：选用优质胡桃木，原木含水率8%-12%，无死结、虫眼、裂纹，单块板材结疤≤1个/㎡且直径≤5mm。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#3.内衬：东北桦木实木条，截面尺寸偏差≤±0.2mm，纹理顺直无弯曲，与主材拼接处含水率差值≤2%。</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#4.配件：板材拼接：采用指接拼接工艺，优质五金连接件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#5.工艺要求：采用榫卯工艺，原木开料→烘干→刨光→榫卯加工→拼接→打磨→涂装→组装→检测</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#6.油漆工艺打磨：依次用120目、240目、400目砂纸干磨，表面粗糙度Ra≤1.6</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m（无砂痕、毛刺</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优质大宝油漆，保证台面无颗粒、气泡、渣点，颜色均匀，不使用螺丝直接固定，表面涂装为国标环保油漆，手工涂装≥3遍，涂层干膜厚度≥0.3mm，游离甲醛含量达标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#7.尺寸与精度：桌面平整度误差≤0.5m/m；桌腿垂直度误差≤0.3mm；允许桌面处同种材料拼接，拼接缝宽度≤0.2mm.承重性能：桌面均布载荷≥300kg，桌腿静载荷≥500kg，无变形、断裂。</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大厅休闲椅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#1.整体</w:t>
            </w:r>
            <w:r>
              <w:rPr>
                <w:rFonts w:hint="eastAsia" w:ascii="宋体" w:hAnsi="宋体" w:cs="宋体"/>
                <w:color w:val="auto"/>
                <w:sz w:val="22"/>
                <w:szCs w:val="22"/>
                <w:highlight w:val="none"/>
                <w:lang w:eastAsia="zh-CN"/>
              </w:rPr>
              <w:t xml:space="preserve">优质</w:t>
            </w:r>
            <w:r>
              <w:rPr>
                <w:rFonts w:ascii="宋体" w:hAnsi="宋体" w:cs="宋体"/>
                <w:color w:val="auto"/>
                <w:sz w:val="22"/>
                <w:szCs w:val="22"/>
                <w:highlight w:val="none"/>
                <w:lang w:eastAsia="zh-CN"/>
              </w:rPr>
              <w:t xml:space="preserve">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#2.工艺</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#3.焊接/打磨/喷砂/多层喷涂工艺（底漆+面漆+清漆）</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耐人工气候老化≥1000小时，颜色稳定，不易粉化褪色，确保美观、安全、牢固，规格：圆形外R≥2200mm、高500-800mm。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等待区长条座椅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1100mm*600mm*600mm主体框架：优质实木烘干框架（含水率8%-12%，防虫防腐，无开裂、变形；框架连接处采用实木榫卯+高强度五金螺丝加固，承重≥800kg/三人位</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#2.五金配件：不锈钢防锈脚架、连接件，电镀工艺，无毛刺、防锈等级≥8级；沙发脚高度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100mm，防滑耐磨，可按需加装防滑垫</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#3.材质属性：高密超纤科技皮（无溶剂环保款），基材为超细纤维无纺布+聚氨酯树脂涂层，仿真皮纹理，无异味、透气性佳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#4.物理性能（行业检测标准）：耐磨转数≥50000转，耐刮擦等级≥4级，干湿擦色牢度≥4级，耐水解性≥5年，抗污等级≥4级（咖啡、墨水、油渍可快速擦拭无残留）</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#5.外观工艺：皮面纹理细腻均匀，无针孔、色差、裂痕，拼接处纹路对齐，同批次无色差；防水防污、防霉抗菌</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#6.附加特性：阻燃等级达B1级，抗老化、抗黄变，耐高温（-20℃~60℃），易清洁，可用湿布/中性清洁剂擦拭</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#7.缝纫工艺：采用高强涤纶缝纫线，针脚均匀细密（针距10-12针/3cm），无跳线、断线、浮线，接缝处加固双线缝制，抗拉扯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#8.蒙皮工艺：皮面张力均匀，无褶皱、鼓包，边角收口圆润紧致，无翘边、脱胶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#9.环保标准：整体甲醛释放量≤0.05mg/m³，无重金属、苯系物超标，无刺激性气味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#10.使用性能：可承受频繁坐压、倚靠，反复开合无异响，皮面抗猫抓、抗尖锐物划擦（日常钥匙、文件包接触无痕迹）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rPr>
                <w:rFonts w:hint="eastAsia" w:ascii="宋体" w:hAnsi="宋体" w:cs="宋体"/>
                <w:color w:val="auto"/>
                <w:sz w:val="22"/>
                <w:szCs w:val="22"/>
                <w:highlight w:val="none"/>
                <w:lang w:eastAsia="zh-CN" w:bidi="ar"/>
              </w:rPr>
            </w:r>
            <w:r>
              <w:rPr>
                <w:rFonts w:hint="eastAsia" w:ascii="宋体" w:hAnsi="宋体" w:cs="宋体"/>
                <w:color w:val="auto"/>
                <w:sz w:val="22"/>
                <w:szCs w:val="22"/>
                <w:highlight w:val="none"/>
                <w:lang w:eastAsia="zh-CN" w:bidi="ar"/>
              </w:rPr>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区档案目录架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#1.规格尺寸：</w:t>
            </w:r>
            <w:r>
              <w:rPr>
                <w:rFonts w:hint="eastAsia" w:ascii="宋体" w:hAnsi="宋体" w:cs="宋体"/>
                <w:color w:val="auto"/>
                <w:sz w:val="22"/>
                <w:szCs w:val="22"/>
                <w:highlight w:val="none"/>
                <w:lang w:val="en-US" w:eastAsia="zh-CN"/>
              </w:rPr>
              <w:t xml:space="preserve">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宽</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1000</w:t>
            </w:r>
            <w:r>
              <w:rPr>
                <w:rFonts w:hint="eastAsia" w:ascii="宋体" w:hAnsi="宋体" w:cs="宋体"/>
                <w:color w:val="auto"/>
                <w:sz w:val="22"/>
                <w:szCs w:val="22"/>
                <w:highlight w:val="none"/>
                <w:lang w:val="en-US" w:eastAsia="zh-CN"/>
              </w:rPr>
              <w:t xml:space="preserve">0</w:t>
            </w:r>
            <w:r>
              <w:rPr>
                <w:rFonts w:ascii="宋体" w:hAnsi="宋体" w:cs="宋体"/>
                <w:color w:val="auto"/>
                <w:sz w:val="22"/>
                <w:szCs w:val="22"/>
                <w:highlight w:val="none"/>
                <w:lang w:eastAsia="zh-CN"/>
              </w:rPr>
              <w:t xml:space="preserve">mm*400mm*2400mm，整体采用实木结构。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#2.材质要求：主材：优质胡桃木；内材：优质木条；配件：优质五金连接件。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#3.油漆工艺：采用优质油漆，保证台面无颗粒、气泡、渣点，颜色均匀，禁止使用螺丝直接固定；表面涂装为食品级木蜡油，手工涂装≥3遍，涂层干膜厚度≥0.5mm；游离甲醛含量达到国标标准。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#4.整体规格：架体高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2400mm，规格形式需满足档案目录盒、杂志、报刊等多种形式的功能使用需求。柜门：合页（铰链）材质：304不锈钢，长宽尺寸公差：±0.3mm，确保与展柜柜体精准贴合，对角线公差：≤0.5mm，防止柜门歪扭，影响开合顺畅度；平整度公差：≤0.2mm/m²，玻璃表面无翘曲。</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ascii="宋体" w:hAnsi="宋体" w:cs="宋体"/>
                <w:color w:val="auto"/>
                <w:sz w:val="22"/>
                <w:szCs w:val="22"/>
                <w:highlight w:val="none"/>
                <w:lang w:eastAsia="zh-CN"/>
              </w:rPr>
              <w:t xml:space="preserve">柜门与柜体缝隙：2mm—3mm（单侧），预留热胀冷缩空间；合页安装孔位公差：±0.2mm，确保合页固定牢固，柜门开合无松动；开合式玻璃柜门：推拉阻力≤5N，滑动无卡顿。</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24</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二楼视频监控室指挥台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#1.弧形指挥台，外弧长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4200mm，宽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600mm，高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750mm（操作台采用钢木结合工艺，柜体为钢制，主体框架采用焊接工艺坚固耐用)整体打磨光滑平整。每个位置标配一层层板，层板开86插座面板孔，任意安装强电弱点。主体框架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1.8mm优质冷轧钢板，前后门板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1.2mm钢板木质部分采用25毫米厚优质实木颗粒板，面板前端橡胶压边手枕,抗磨防腐柜体采用静电喷涂工艺(打砂，脱脂,酸洗，防锈磷化,静电喷涂)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#2.配套配置3把椅子：椅面/靠背：网布（涤纶材质，透气耐磨，断裂强力≥1500N），或PU皮（耐刮擦≥30000次）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椅框：加厚PP塑料，承重≥座面高度：450-500mm（固定/微调）缝线均匀，无跳线、脱线；配件安装牢固，无松动。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组</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钢制目录柜（文件柜）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1800mm*850mm*350mm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#2.基材选用优质宝钢冷轧钢板，厚度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0.5mm含喷塑柜体经剪切、冲压、折弯、焊接、而成；表面采用阿克苏静电粉，经磷化、酸洗后，高温静电喷塑处理。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#3.外观色泽均匀一致，表面光滑。优质锁具，产品达到国标环保标准。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档案整理桌（3m*1.5m)</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长条桌柜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300mm*3500mm*750mm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档案修复台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#1、基材：采用E0级环保中密度纤维板，环保性能符合E0级标准，甲醛释放量≤0.05mg/m³，木材含水率小于13%，抗膨胀能力好，尺寸稳定性好，不易变形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#2、面材：采用优质胡桃木木皮，环保达到E0级；木皮厚度≥0.8mm，含水率8%-16%，经过防虫、防腐处理，耐腐性好，纹理清晰自然，色泽一致，无色差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#3、涂料：采用优质水性漆，涂料采用“五底三面”工艺，漆膜附着力达到1级，表面硬度达3H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#4、封边：四周显露部位使用与木皮材质一致的实木封边，严密平整，线条均匀，转角过渡自然，不易变形及开裂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#5、五金配件：采用优质连接件；锁具</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办公桌椅1</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1400mm*700mm*750mm配1椅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33</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办公桌椅2</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1600mm*800mm*750mm配1椅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会议桌椅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3000mm*1400mm*750mm配6椅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#6.配套配置6把椅子：椅面/靠背：网布（涤纶材质，透气耐磨，断裂强力≥1500N），或PU皮（耐刮擦≥30000次）;椅框：加厚PP塑料，承重≥座面高度：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397"/>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5" w:name="五、档案主题文化建设"/>
            <w:r>
              <w:rPr>
                <w:rFonts w:hint="eastAsia" w:ascii="宋体" w:hAnsi="宋体" w:cs="宋体"/>
                <w:b/>
                <w:bCs/>
                <w:color w:val="auto"/>
                <w:sz w:val="22"/>
                <w:szCs w:val="22"/>
                <w:highlight w:val="none"/>
                <w:lang w:val="en-US" w:eastAsia="zh-CN" w:bidi="ar"/>
              </w:rPr>
              <w:t xml:space="preserve">五</w:t>
            </w:r>
            <w:r>
              <w:rPr>
                <w:rFonts w:hint="eastAsia" w:ascii="宋体" w:hAnsi="宋体" w:cs="宋体"/>
                <w:b/>
                <w:bCs/>
                <w:color w:val="auto"/>
                <w:sz w:val="22"/>
                <w:szCs w:val="22"/>
                <w:highlight w:val="none"/>
                <w:lang w:eastAsia="zh-CN" w:bidi="ar"/>
              </w:rPr>
              <w:t xml:space="preserve">、档案主题文化建设</w:t>
            </w:r>
            <w:bookmarkEnd w:id="75"/>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bidi="ar"/>
              </w:rPr>
              <w:t xml:space="preserve">档案主题文化设计：</w:t>
            </w:r>
            <w:r>
              <w:rPr>
                <w:rFonts w:hint="eastAsia" w:ascii="宋体" w:hAnsi="宋体" w:cs="宋体"/>
                <w:color w:val="auto"/>
                <w:sz w:val="22"/>
                <w:szCs w:val="22"/>
                <w:highlight w:val="none"/>
                <w:lang w:eastAsia="zh-CN" w:bidi="ar"/>
              </w:rPr>
              <w:t xml:space="preserve">根据“</w:t>
            </w:r>
            <w:r>
              <w:rPr>
                <w:rFonts w:hint="eastAsia" w:ascii="宋体" w:hAnsi="宋体" w:cs="宋体"/>
                <w:color w:val="auto"/>
                <w:sz w:val="22"/>
                <w:szCs w:val="22"/>
                <w:highlight w:val="none"/>
                <w:lang w:val="en-US" w:eastAsia="zh-CN" w:bidi="ar"/>
              </w:rPr>
              <w:t xml:space="preserve">五</w:t>
            </w:r>
            <w:r>
              <w:rPr>
                <w:rFonts w:hint="eastAsia" w:ascii="宋体" w:hAnsi="宋体" w:cs="宋体"/>
                <w:color w:val="auto"/>
                <w:sz w:val="22"/>
                <w:szCs w:val="22"/>
                <w:highlight w:val="none"/>
                <w:lang w:eastAsia="zh-CN" w:bidi="ar"/>
              </w:rPr>
              <w:t xml:space="preserve">、档案主题文化建设”清单内容与图纸，结合各个区域面积、结构特点，设计各区域档案文化展示墙，出具包括但不限于CAD设计图纸、文化展示设计效果图。</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bidi="ar"/>
              </w:rPr>
              <w:t xml:space="preserve">五）档案主题文化建设方案需求</w:t>
            </w:r>
            <w:r>
              <w:rPr>
                <w:rFonts w:hint="eastAsia" w:ascii="宋体" w:hAnsi="宋体" w:cs="宋体"/>
                <w:color w:val="auto"/>
                <w:sz w:val="22"/>
                <w:szCs w:val="22"/>
                <w:highlight w:val="none"/>
                <w:lang w:val="en-US" w:eastAsia="zh-CN"/>
              </w:rPr>
              <w:t xml:space="preserve">”。</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w:t>
            </w:r>
            <w:r>
              <w:rPr>
                <w:rFonts w:hint="eastAsia" w:ascii="宋体" w:hAnsi="宋体" w:cs="宋体"/>
                <w:color w:val="auto"/>
                <w:sz w:val="22"/>
                <w:szCs w:val="22"/>
                <w:highlight w:val="none"/>
                <w:lang w:val="en-US" w:eastAsia="zh-CN" w:bidi="ar"/>
              </w:rPr>
              <w:t xml:space="preserve"> </w:t>
            </w:r>
            <w:r>
              <w:rPr>
                <w:rFonts w:hint="eastAsia" w:ascii="宋体" w:hAnsi="宋体" w:cs="宋体"/>
                <w:color w:val="auto"/>
                <w:sz w:val="22"/>
                <w:szCs w:val="22"/>
                <w:highlight w:val="none"/>
                <w:lang w:eastAsia="zh-CN" w:bidi="ar"/>
              </w:rPr>
              <w:t xml:space="preserve">文化墙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#1.档案目录架架体上方约10000mm*600mm，书架上方文化墙结合空间将档案文化氛围凝入其中。</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#2.设计符合查档大厅的空间与色彩，包含方案效果图设计、平面展示内容设计。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#3.文化墙制作，并布线安装专业射灯，材料工艺包括但不限于：亚克力、PVC板材、浮雕、雕刻工艺制作安装。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B</w:t>
            </w:r>
            <w:r>
              <w:rPr>
                <w:rFonts w:hint="eastAsia" w:ascii="宋体" w:hAnsi="宋体" w:cs="宋体"/>
                <w:color w:val="auto"/>
                <w:sz w:val="22"/>
                <w:szCs w:val="22"/>
                <w:highlight w:val="none"/>
                <w:lang w:eastAsia="zh-CN" w:bidi="ar"/>
              </w:rPr>
              <w:t xml:space="preserve">数字档案长廊</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27</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E</w:t>
            </w:r>
            <w:r>
              <w:rPr>
                <w:rFonts w:hint="eastAsia" w:ascii="宋体" w:hAnsi="宋体" w:cs="宋体"/>
                <w:color w:val="auto"/>
                <w:sz w:val="22"/>
                <w:szCs w:val="22"/>
                <w:highlight w:val="none"/>
                <w:lang w:eastAsia="zh-CN" w:bidi="ar"/>
              </w:rPr>
              <w:t xml:space="preserve">区主题墙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G</w:t>
            </w:r>
            <w:r>
              <w:rPr>
                <w:rFonts w:hint="eastAsia" w:ascii="宋体" w:hAnsi="宋体" w:cs="宋体"/>
                <w:color w:val="auto"/>
                <w:sz w:val="22"/>
                <w:szCs w:val="22"/>
                <w:highlight w:val="none"/>
                <w:lang w:eastAsia="zh-CN" w:bidi="ar"/>
              </w:rPr>
              <w:t xml:space="preserve">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ascii="宋体" w:hAnsi="宋体" w:cs="宋体"/>
                <w:color w:val="auto"/>
                <w:sz w:val="22"/>
                <w:szCs w:val="22"/>
                <w:highlight w:val="none"/>
                <w:lang w:eastAsia="zh-CN"/>
              </w:rPr>
              <w:t xml:space="preserve">1.5cm</w:t>
            </w:r>
            <w:r>
              <w:rPr>
                <w:rFonts w:ascii="宋体" w:hAnsi="宋体" w:cs="宋体"/>
                <w:color w:val="auto"/>
                <w:sz w:val="22"/>
                <w:szCs w:val="22"/>
                <w:highlight w:val="none"/>
                <w:lang w:eastAsia="zh-CN"/>
              </w:rPr>
              <w:t xml:space="preserve">高密度雪弗板+透明亚克力反打UV、≥3cm厚铝型材边框、≥1.5cm厚PVC背板（一、二级标题板）、≥3cm厚铝型材边框、亚克力UV打印、≥2.5cm亚克力三维雕刻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F区主题墙(查档大厅）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w:t>
            </w:r>
            <w:r>
              <w:rPr>
                <w:rFonts w:hint="eastAsia" w:ascii="宋体" w:hAnsi="宋体" w:cs="宋体"/>
                <w:color w:val="auto"/>
                <w:sz w:val="22"/>
                <w:szCs w:val="22"/>
                <w:highlight w:val="none"/>
                <w:lang w:eastAsia="zh-CN"/>
              </w:rPr>
              <w:t xml:space="preserve">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w:t>
            </w:r>
            <w:r>
              <w:rPr>
                <w:rFonts w:hint="eastAsia" w:ascii="宋体" w:hAnsi="宋体" w:cs="宋体"/>
                <w:color w:val="auto"/>
                <w:sz w:val="22"/>
                <w:szCs w:val="22"/>
                <w:highlight w:val="none"/>
                <w:lang w:val="en-US" w:eastAsia="zh-CN" w:bidi="ar"/>
              </w:rPr>
              <w:t xml:space="preserve">J/L</w:t>
            </w:r>
            <w:r>
              <w:rPr>
                <w:rFonts w:hint="eastAsia" w:ascii="宋体" w:hAnsi="宋体" w:cs="宋体"/>
                <w:color w:val="auto"/>
                <w:sz w:val="22"/>
                <w:szCs w:val="22"/>
                <w:highlight w:val="none"/>
                <w:lang w:eastAsia="zh-CN" w:bidi="ar"/>
              </w:rPr>
              <w:t xml:space="preserve">区展示墙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w:t>
            </w:r>
            <w:r>
              <w:rPr>
                <w:rFonts w:ascii="宋体" w:hAnsi="宋体" w:cs="宋体"/>
                <w:color w:val="auto"/>
                <w:sz w:val="22"/>
                <w:szCs w:val="22"/>
                <w:highlight w:val="none"/>
                <w:lang w:eastAsia="zh-CN"/>
              </w:rPr>
              <w:t xml:space="preserve">工艺采用亚克力等工艺制作安装及射灯安装。</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#5.</w:t>
            </w:r>
            <w:r>
              <w:rPr>
                <w:rFonts w:ascii="宋体" w:hAnsi="宋体" w:cs="宋体"/>
                <w:color w:val="auto"/>
                <w:sz w:val="22"/>
                <w:szCs w:val="22"/>
                <w:highlight w:val="none"/>
                <w:lang w:eastAsia="zh-CN"/>
              </w:rPr>
              <w:t xml:space="preserve">顶面艺术吊顶，照明、隔墙、保安</w:t>
            </w:r>
            <w:r>
              <w:rPr>
                <w:rFonts w:hint="eastAsia" w:ascii="宋体" w:hAnsi="宋体" w:cs="宋体"/>
                <w:color w:val="auto"/>
                <w:sz w:val="22"/>
                <w:szCs w:val="22"/>
                <w:highlight w:val="none"/>
                <w:lang w:val="en-US" w:eastAsia="zh-CN"/>
              </w:rPr>
              <w:t xml:space="preserve">室</w:t>
            </w:r>
            <w:r>
              <w:rPr>
                <w:rFonts w:ascii="宋体" w:hAnsi="宋体" w:cs="宋体"/>
                <w:color w:val="auto"/>
                <w:sz w:val="22"/>
                <w:szCs w:val="22"/>
                <w:highlight w:val="none"/>
                <w:lang w:eastAsia="zh-CN"/>
              </w:rPr>
              <w:t xml:space="preserve">到隔墙门窗等。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39</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南楼屏风隔断</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#1.设计符合大厅档案文化氛围，同时能够将办公与查档进行有效分隔。</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#2.艺术屏风隔断金属边框磨砂钢化玻璃及艺术贴画立体字等制作安装。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12.8</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南楼服务吧台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#1.吧台镀锌钢骨架基层木饰面面层，人造石台面及配套抽屉柜门五金件等制作安装，规格为长4200mm高1100mm高900mm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strike w:val="0"/>
                <w:color w:val="auto"/>
                <w:sz w:val="22"/>
                <w:szCs w:val="22"/>
                <w:highlight w:val="none"/>
              </w:rPr>
            </w:pPr>
            <w:r>
              <w:rPr>
                <w:rFonts w:hint="eastAsia" w:ascii="宋体" w:hAnsi="宋体" w:cs="宋体"/>
                <w:strike w:val="0"/>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南门大厅文化</w:t>
            </w:r>
            <w:r>
              <w:rPr>
                <w:rFonts w:ascii="宋体" w:hAnsi="宋体" w:cs="宋体"/>
                <w:strike w:val="0"/>
                <w:color w:val="auto"/>
                <w:sz w:val="22"/>
                <w:szCs w:val="22"/>
                <w:highlight w:val="none"/>
              </w:rPr>
              <w:t xml:space="preserve">墙</w:t>
            </w:r>
            <w:r/>
          </w:p>
        </w:tc>
        <w:tc>
          <w:tcPr>
            <w:shd w:val="clear" w:color="auto" w:fill="ffffff"/>
            <w:tcW w:w="3363" w:type="pct"/>
            <w:vAlign w:val="center"/>
            <w:textDirection w:val="lrTb"/>
            <w:noWrap w:val="false"/>
          </w:tcPr>
          <w:p>
            <w:pPr>
              <w:jc w:val="left"/>
              <w:shd w:val="clear" w:color="auto"/>
              <w:rPr>
                <w:rFonts w:hint="eastAsia" w:ascii="宋体" w:hAnsi="宋体" w:cs="宋体"/>
                <w:strike w:val="0"/>
                <w:color w:val="auto"/>
                <w:sz w:val="22"/>
                <w:szCs w:val="22"/>
                <w:highlight w:val="none"/>
              </w:rPr>
            </w:pP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1</w:t>
            </w: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南楼大厅东、西、北含入口处，三面墙文化墙制作，并布线安装专业射灯，包括但不限于：亚克力、PVC板材、浮雕、雕刻工艺制作安装。</w:t>
            </w:r>
            <w:r/>
          </w:p>
          <w:p>
            <w:pPr>
              <w:jc w:val="left"/>
              <w:shd w:val="clear" w:color="auto"/>
              <w:rPr>
                <w:rFonts w:hint="default" w:ascii="宋体" w:hAnsi="宋体" w:eastAsia="宋体" w:cs="宋体"/>
                <w:strike w:val="0"/>
                <w:color w:val="auto"/>
                <w:sz w:val="22"/>
                <w:szCs w:val="22"/>
                <w:highlight w:val="none"/>
                <w:lang w:val="en-US" w:eastAsia="zh-CN" w:bidi="ar-SA"/>
              </w:rPr>
            </w:pPr>
            <w:r>
              <w:rPr>
                <w:rFonts w:hint="eastAsia" w:ascii="宋体" w:hAnsi="宋体" w:cs="宋体"/>
                <w:strike w:val="0"/>
                <w:color w:val="auto"/>
                <w:sz w:val="22"/>
                <w:szCs w:val="22"/>
                <w:highlight w:val="none"/>
              </w:rPr>
              <w:t xml:space="preserve">#2.</w:t>
            </w:r>
            <w:r>
              <w:rPr>
                <w:rFonts w:hint="eastAsia" w:ascii="宋体" w:hAnsi="宋体" w:cs="宋体"/>
                <w:strike w:val="0"/>
                <w:color w:val="auto"/>
                <w:sz w:val="22"/>
                <w:szCs w:val="22"/>
                <w:highlight w:val="none"/>
                <w:lang w:val="en-US" w:eastAsia="zh-CN"/>
              </w:rPr>
              <w:t xml:space="preserve">文化墙设计效果</w:t>
            </w:r>
            <w:r>
              <w:rPr>
                <w:rFonts w:hint="eastAsia" w:ascii="宋体" w:hAnsi="宋体" w:cs="宋体"/>
                <w:strike w:val="0"/>
                <w:color w:val="auto"/>
                <w:sz w:val="22"/>
                <w:szCs w:val="22"/>
                <w:highlight w:val="none"/>
              </w:rPr>
              <w:t xml:space="preserve">经采购方确认后方可进场</w:t>
            </w:r>
            <w:r>
              <w:rPr>
                <w:rFonts w:ascii="宋体" w:hAnsi="宋体" w:cs="宋体"/>
                <w:strike w:val="0"/>
                <w:color w:val="auto"/>
                <w:sz w:val="22"/>
                <w:szCs w:val="22"/>
                <w:highlight w:val="none"/>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strike w:val="0"/>
                <w:color w:val="auto"/>
                <w:sz w:val="22"/>
                <w:szCs w:val="22"/>
                <w:highlight w:val="none"/>
                <w:lang w:val="en-US" w:eastAsia="zh-CN" w:bidi="ar"/>
              </w:rPr>
            </w:pPr>
            <w:r>
              <w:rPr>
                <w:rFonts w:hint="eastAsia" w:ascii="宋体" w:hAnsi="宋体" w:cs="宋体"/>
                <w:strike w:val="0"/>
                <w:color w:val="auto"/>
                <w:sz w:val="22"/>
                <w:szCs w:val="22"/>
                <w:highlight w:val="none"/>
                <w:lang w:val="en-US" w:eastAsia="zh-CN" w:bidi="ar"/>
              </w:rPr>
              <w:t xml:space="preserve">60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K</w:t>
            </w:r>
            <w:r>
              <w:rPr>
                <w:rFonts w:hint="eastAsia" w:ascii="宋体" w:hAnsi="宋体" w:cs="宋体"/>
                <w:color w:val="auto"/>
                <w:sz w:val="22"/>
                <w:szCs w:val="22"/>
                <w:highlight w:val="none"/>
                <w:lang w:eastAsia="zh-CN" w:bidi="ar"/>
              </w:rPr>
              <w:t xml:space="preserve">区院中文化地面</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#1.根据泗洪历史发展，设计出符合泗洪档案文化的图案、文字等</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将原中庭中花岗岩地面以阴字雕刻后并烫金漆工艺将图案文字印在石刻上面。</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南楼双开玻璃门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#1.原铝合金窗位置增加双开玻璃门，拆除原铝合金窗，墙体切割拆除，规格：2000*3200mm。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#2.铝合金门框及门楣：规格2000mm*1000mm，门框需做防渗水处理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#3.重型地弹簧（≥130kg）+10mm钢化玻璃双开门制作安装含不锈钢拉手等五金配套五金件，规格：2000mm*2200mm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南楼室外踏步平台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#1.原场地平整夯实，平台踏步水泥砖砌筑，平台踏步≥30mm火烧面花岗岩铺贴，踏步花岗岩需防磕碰处理2×2mm或R3圆弧。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rPr>
              <w:t xml:space="preserve">规格：3500mm*2500mm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m2</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8.75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南楼铝合金推拉窗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#1.原铝合金窗切割拆除规格：1800*2600mm。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#2.型材材质</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：6063-T5铝合金，抗拉强度≥160 MPa，硬度≥15 HW，表面处理</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：粉末喷涂（膜厚≥40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m），耐盐雾试验≥3000小时，隔热条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：PA66 GF25尼龙玻纤，宽度≥28 mm，导热系数≤0.28 W/(m·K)，断桥结构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：注胶式隔热（非穿条式）</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#3.玻璃：5+12A+5 Low-E中空玻璃，氩气填充，遮阳系数SC≤0.45，毛条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：双道硅化丙纶毛条（7×6mm），密度≥1300根/cm²，胶条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：EPDM三元乙丙橡胶，耐温-40℃~120℃，寿命≥15年，密封结构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：三道密封（外侧胶条+中间毛条+内侧胶条）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#4.窗框需做防渗水处理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规格：1800*2600mm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南楼钢结构雨棚</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.防腐与表面处理：底漆：环氧富锌底漆，干膜厚度≥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；面漆：氟碳漆或丙烯酸聚氨酯，干膜厚度≥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；总膜厚≥</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100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，耐盐雾试验≥1000h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.玻璃：夹层安全玻璃</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（≥6+1.52PVB+6mm）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.规格：1200*2400mm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六、VI建设</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1-4楼导示</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#1.常规科室牌1-4楼共计：105块(规格自行设计)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105</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 </w:t>
            </w:r>
            <w:r>
              <w:rPr>
                <w:rFonts w:ascii="宋体" w:hAnsi="宋体" w:cs="宋体"/>
                <w:color w:val="auto"/>
                <w:sz w:val="22"/>
                <w:szCs w:val="22"/>
                <w:highlight w:val="none"/>
                <w:lang w:eastAsia="zh-CN"/>
              </w:rPr>
              <w:t xml:space="preserve">600mm*900mm区域导示牌1-4楼共计：20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3.1200mm*1100mm楼层索引牌1-4楼共计：22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档案文化物料</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手提式档案资料袋：规格：400mm*550mm*80mm，布艺袋采用8安（280g/㎡），涤棉混纺帆布，激光裁剪、刀模裁剪，线号≥203#（粗线）针距≥10/英寸缝纫。提手与袋身连接处：“回针加固”（来回缝纫≥2遍）提升承重能力（常规帆布袋需承重≥5kg），袋底：双线缝合，水性油墨无异味、无甲醛。</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只</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800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#2.专用笔记本：50P*500册，双胶四色工艺，仿皮，纸张克重：≥80g，封面硬度：硬面抄，内页布局：横线，尺寸：A5，封面汤金LOGO字。</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册</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500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#3.腰线：双面半透UV工艺含安装，规格1200mm*100mm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VI设计</w:t>
            </w:r>
            <w:r/>
          </w:p>
        </w:tc>
        <w:tc>
          <w:tcPr>
            <w:shd w:val="clear" w:color="auto" w:fill="ffffff"/>
            <w:tcW w:w="3363" w:type="pct"/>
            <w:vAlign w:val="center"/>
            <w:textDirection w:val="lrTb"/>
            <w:noWrap w:val="false"/>
          </w:tcPr>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val="en-US" w:eastAsia="zh-CN" w:bidi="ar"/>
              </w:rPr>
              <w:t xml:space="preserve">VI设计：</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根据对泗洪档案专业深度与泗洪历史发展，结合县级</w:t>
            </w:r>
            <w:r>
              <w:rPr>
                <w:rFonts w:hint="eastAsia" w:ascii="宋体" w:hAnsi="宋体" w:cs="宋体"/>
                <w:color w:val="auto"/>
                <w:sz w:val="22"/>
                <w:szCs w:val="22"/>
                <w:highlight w:val="none"/>
                <w:lang w:val="en-US" w:eastAsia="zh-CN" w:bidi="ar"/>
              </w:rPr>
              <w:t xml:space="preserve">综合性档案</w:t>
            </w:r>
            <w:r>
              <w:rPr>
                <w:rFonts w:hint="eastAsia" w:ascii="宋体" w:hAnsi="宋体" w:cs="宋体"/>
                <w:color w:val="auto"/>
                <w:sz w:val="22"/>
                <w:szCs w:val="22"/>
                <w:highlight w:val="none"/>
                <w:lang w:eastAsia="zh-CN" w:bidi="ar"/>
              </w:rPr>
              <w:t xml:space="preserve">馆</w:t>
            </w:r>
            <w:r>
              <w:rPr>
                <w:rFonts w:hint="eastAsia" w:ascii="宋体" w:hAnsi="宋体" w:cs="宋体"/>
                <w:color w:val="auto"/>
                <w:sz w:val="22"/>
                <w:szCs w:val="22"/>
                <w:highlight w:val="none"/>
                <w:lang w:val="en-US" w:eastAsia="zh-CN" w:bidi="ar"/>
              </w:rPr>
              <w:t xml:space="preserve">需求</w:t>
            </w:r>
            <w:r>
              <w:rPr>
                <w:rFonts w:hint="eastAsia" w:ascii="宋体" w:hAnsi="宋体" w:cs="宋体"/>
                <w:color w:val="auto"/>
                <w:sz w:val="22"/>
                <w:szCs w:val="22"/>
                <w:highlight w:val="none"/>
                <w:lang w:eastAsia="zh-CN" w:bidi="ar"/>
              </w:rPr>
              <w:t xml:space="preserve">，设计出符合泗洪县档案馆特色的VI一套，包括但不限于档案馆LOGO、标识导示牌、科室牌、办公</w:t>
            </w:r>
            <w:r>
              <w:rPr>
                <w:rFonts w:hint="eastAsia" w:ascii="宋体" w:hAnsi="宋体" w:cs="宋体"/>
                <w:color w:val="auto"/>
                <w:sz w:val="22"/>
                <w:szCs w:val="22"/>
                <w:highlight w:val="none"/>
                <w:lang w:val="en-US" w:eastAsia="zh-CN" w:bidi="ar"/>
              </w:rPr>
              <w:t xml:space="preserve">用</w:t>
            </w:r>
            <w:r>
              <w:rPr>
                <w:rFonts w:hint="eastAsia" w:ascii="宋体" w:hAnsi="宋体" w:cs="宋体"/>
                <w:color w:val="auto"/>
                <w:sz w:val="22"/>
                <w:szCs w:val="22"/>
                <w:highlight w:val="none"/>
                <w:lang w:eastAsia="zh-CN" w:bidi="ar"/>
              </w:rPr>
              <w:t xml:space="preserve">品等，标识导示牌、科室牌，结合大楼的风格造型，并符合内部结构，</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）文化融合精准度：需清晰呈现 VI 设计对泗洪</w:t>
            </w:r>
            <w:r>
              <w:rPr>
                <w:rFonts w:hint="eastAsia" w:ascii="宋体" w:hAnsi="宋体" w:cs="宋体"/>
                <w:color w:val="auto"/>
                <w:sz w:val="22"/>
                <w:szCs w:val="22"/>
                <w:highlight w:val="none"/>
                <w:lang w:val="en-US" w:eastAsia="zh-CN" w:bidi="ar"/>
              </w:rPr>
              <w:t xml:space="preserve">特色档案</w:t>
            </w:r>
            <w:r>
              <w:rPr>
                <w:rFonts w:hint="eastAsia" w:ascii="宋体" w:hAnsi="宋体" w:cs="宋体"/>
                <w:color w:val="auto"/>
                <w:sz w:val="22"/>
                <w:szCs w:val="22"/>
                <w:highlight w:val="none"/>
                <w:lang w:eastAsia="zh-CN" w:bidi="ar"/>
              </w:rPr>
              <w:t xml:space="preserve">核心文化元素的提取与应用，明确展示元素来源及设计转化逻辑。</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）档案特色适配性：需紧扣档案行业属性，体现严谨、庄重、权威的调性，重点展示VI系统在档案标识、展陈标牌、办公用具等场景的标准化应用。</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设计风格与落地性：明确展示VI设计整体风格为简洁、庄重、大气，清晰呈现核心Logo、颜色、字体的组合规范；同时演示VI元素的与现实场景材质适配效果，验证设计落地可行性。</w:t>
            </w:r>
            <w:r/>
          </w:p>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ascii="宋体" w:hAnsi="宋体" w:cs="宋体"/>
                <w:color w:val="auto"/>
                <w:sz w:val="22"/>
                <w:szCs w:val="22"/>
                <w:highlight w:val="none"/>
                <w:lang w:eastAsia="zh-CN"/>
              </w:rPr>
            </w:pPr>
            <w:r/>
            <w:bookmarkStart w:id="76" w:name="六、浮雕"/>
            <w:r>
              <w:rPr>
                <w:rFonts w:hint="eastAsia" w:ascii="宋体" w:hAnsi="宋体" w:cs="宋体"/>
                <w:b/>
                <w:bCs/>
                <w:color w:val="auto"/>
                <w:sz w:val="22"/>
                <w:szCs w:val="22"/>
                <w:highlight w:val="none"/>
                <w:lang w:val="en-US" w:eastAsia="zh-CN" w:bidi="ar"/>
              </w:rPr>
              <w:t xml:space="preserve">七</w:t>
            </w:r>
            <w:r>
              <w:rPr>
                <w:rFonts w:hint="eastAsia" w:ascii="宋体" w:hAnsi="宋体" w:cs="宋体"/>
                <w:b/>
                <w:bCs/>
                <w:color w:val="auto"/>
                <w:sz w:val="22"/>
                <w:szCs w:val="22"/>
                <w:highlight w:val="none"/>
                <w:lang w:eastAsia="zh-CN" w:bidi="ar"/>
              </w:rPr>
              <w:t xml:space="preserve">、</w:t>
            </w:r>
            <w:bookmarkStart w:id="77" w:name="OLE_LINK1"/>
            <w:r>
              <w:rPr>
                <w:rFonts w:hint="eastAsia" w:ascii="宋体" w:hAnsi="宋体" w:cs="宋体"/>
                <w:b/>
                <w:bCs/>
                <w:color w:val="auto"/>
                <w:sz w:val="22"/>
                <w:szCs w:val="22"/>
                <w:highlight w:val="none"/>
                <w:lang w:eastAsia="zh-CN" w:bidi="ar"/>
              </w:rPr>
              <w:t xml:space="preserve">浮雕</w:t>
            </w:r>
            <w:bookmarkEnd w:id="76"/>
            <w:r/>
            <w:bookmarkEnd w:id="77"/>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区主题浮雕</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墙体尺寸：10800mm×高3800mm（含底座200mm）。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预埋件及钢骨架：中心线偏差≤2mm，拉水平线控制水平高低及进深尺寸，确保连接件安装精度。</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立柱、横梁：采用槽钢、角钢制作，转接件与预埋件采用焊接或不锈钢螺栓连接；槽钢立柱与转接件（角码）焊接或不锈钢螺栓连接，焊接前需检查、校正、调整，符合技术要求后施工。</w:t>
            </w:r>
            <w:r>
              <w:rPr>
                <w:rFonts w:hint="eastAsia" w:ascii="宋体" w:hAnsi="宋体" w:cs="宋体"/>
                <w:color w:val="auto"/>
                <w:sz w:val="22"/>
                <w:szCs w:val="22"/>
                <w:highlight w:val="none"/>
                <w:lang w:val="en-US" w:eastAsia="zh-CN" w:bidi="ar"/>
              </w:rPr>
              <w:t xml:space="preserve">安装要求：</w:t>
            </w:r>
            <w:r>
              <w:rPr>
                <w:rFonts w:hint="eastAsia" w:ascii="宋体" w:hAnsi="宋体" w:cs="宋体"/>
                <w:color w:val="auto"/>
                <w:sz w:val="22"/>
                <w:szCs w:val="22"/>
                <w:highlight w:val="none"/>
                <w:lang w:eastAsia="zh-CN" w:bidi="ar"/>
              </w:rPr>
              <w:t xml:space="preserve">立柱由下往上安装，底层立柱安装校正完成后，安装上层立柱；横梁由上往下安装，角钢校正就位后与立柱焊接牢固；立柱安装完成后，进行横梁安装，横梁安装依据水平横向线定位，先点焊固定，水平调校准确后焊死，焊缝需打磨平整。</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4.主体材质：紫铜板，铜含量 Cu≥99.9%（提供第三方权威机构出具的检测报告扫描件）。铜板厚度≥1.5mm，受力部位加厚至≥2.0mm；退火态紫铜板抗拉强度≥200MPa、伸长率≥15%。背板材质采用 Q235B 钢材，需经热镀锌防腐处理；背板与铜板间设置缓冲垫片，避免不同金属接触腐蚀。</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工艺要求：采用传统锻錾手工工艺，曲面锻打纹理均匀、无明显锤痕，同曲面厚度偏差≤0.2mm。铜件锻造后必须进行500-600℃、保温1-2h随炉冷却退火处理，消除内应力。规则构件数控切割，切口垂直度偏差≤0.1mm/m、粗糙度Ra≤12.5μm，去毛刺、除氧化层。板块拼接采用氩弧焊，焊缝打磨平整、过渡自然。</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#6.泥塑造型模型：采用钢材搭建浮雕架，木工板作为浮雕附着板，制作大泥覆盖夯实找平，用雕塑刀勾勒浮雕大致造型与构图。成品泥塑采用塑料薄膜覆盖，每天≥2次喷水养护，便于采购人定型和修订。</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玻璃钢翻制模型：完成1:1泥塑模型，经采购人确认定型后，采用硅胶模具+玻璃钢翻制工艺制作单元模块，模块带定位槽，拼接精度高、整体无变形。脱模剂涂抹次数≥3次，硅胶混合材料涂抹≥3次，硅胶定型后浇筑石膏厚度≥5cm。硅胶模成型后手糊厚度≥2mm的树脂层。固化后，手糊≥1mm的树脂原料进行粘贴玻纤布（≥3层以上）常温风干。在单元块间制造衔接肋，衔接肋处应设定位槽，以保证经过衔接肋使单元块模具组合成一整体。保持玻璃钢制品厚度≥5mm，以上工作完成后，将玻璃钢制品浮雕单元块脱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表面处理与着色：铜件成品经酸洗除油、除氧化皮处理，表面洁净无杂质。采用环保氧化着色工艺（禁用有毒腐蚀剂），整体色泽均匀、无色差、无流挂，最终效果需经采购人确认。拼接采用氩弧焊工艺，焊缝需做防锈处理，打磨后与整体过渡自然。表面整体喷涂透明保护釉封釉防腐处理，抗氧化、耐腐蚀、易养护。</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☆☆9.浮雕设计：</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结合大厅空间、结构，设计具有代表泗洪历史、人文、传统文化的浮雕文化墙及浮雕两侧柱体的配套设计，</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）浮雕内容构成：需详细介绍浮雕文化墙的元素构成逻辑，元素选取需贴合泗洪实际，无无关内容堆砌。</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）工艺美学与材质：需明确浮雕的工艺表现形式、核心材质及质感呈现效果；解析浮雕构图布局、线条流畅度、元素层次感设计，体现专业工艺认知。</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）空间布局适配：需展示浮雕墙与档案馆大厅空间效果，清晰呈现浮雕与周边</w:t>
            </w:r>
            <w:r>
              <w:rPr>
                <w:rFonts w:hint="eastAsia" w:ascii="宋体" w:hAnsi="宋体" w:cs="宋体"/>
                <w:color w:val="auto"/>
                <w:sz w:val="22"/>
                <w:szCs w:val="22"/>
                <w:highlight w:val="none"/>
                <w:lang w:val="en-US" w:eastAsia="zh-CN" w:bidi="ar"/>
              </w:rPr>
              <w:t xml:space="preserve">环境的衔接逻辑，验证空间利用合理性与视觉美观度。</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中标后供应商需结合馆藏资源做好深化设计，并提供具体项目实施方案，方可进场。</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color w:val="auto"/>
                <w:sz w:val="22"/>
                <w:szCs w:val="22"/>
                <w:highlight w:val="none"/>
                <w:lang w:val="en-US"/>
              </w:rPr>
            </w:pPr>
            <w:r>
              <w:rPr>
                <w:rFonts w:hint="eastAsia" w:ascii="宋体" w:hAnsi="宋体" w:cs="宋体"/>
                <w:color w:val="auto"/>
                <w:sz w:val="22"/>
                <w:szCs w:val="22"/>
                <w:highlight w:val="none"/>
                <w:lang w:val="en-US" w:eastAsia="zh-CN" w:bidi="ar"/>
              </w:rPr>
              <w:t xml:space="preserve">41.01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顶部动态星空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#1.结合大厅浮雕及空间、结构，配合主题浮雕墙设计动态灯箱天空顶。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w:t>
            </w:r>
            <w:r>
              <w:rPr>
                <w:rFonts w:ascii="宋体" w:hAnsi="宋体" w:cs="宋体"/>
                <w:color w:val="auto"/>
                <w:sz w:val="22"/>
                <w:szCs w:val="22"/>
                <w:highlight w:val="none"/>
                <w:lang w:eastAsia="zh-CN"/>
              </w:rPr>
              <w:t xml:space="preserve">灯箱钢结构焊接标准(焊缝堆高≥3mm，检验等级2级)、LED灯安装间距(200~250mm)及防水处理工艺。边框铝合金型材(6061-T6)</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抗拉强度≥260MPa,切口氧化膜厚度15um，表面平整度误差0.5mm/m。加固钢材(Q235B)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表面除锈达到≥Sa2.5级，焊接前进行手工打磨去除氧化层，涂刷2度防锈漆(干膜厚度6Opm)，亚克力板(厚度≥5mm)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透光率85%，雾度3%，表面硬度达到铅笔硬度≥2H标准，双面覆膜保护。光源系统LED灯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色温一致性偏差50K，单颗灯珠亮度衰减率3%/1000小时,防水等级≥IP44(室内)。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50K，单颗灯珠亮度衰减率3%/1000小时,防水等级≥IP44(室内)。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bookmarkStart w:id="78" w:name="七、非机动车车棚"/>
            <w:r>
              <w:rPr>
                <w:rFonts w:hint="eastAsia" w:ascii="宋体" w:hAnsi="宋体" w:cs="宋体"/>
                <w:b/>
                <w:bCs/>
                <w:color w:val="auto"/>
                <w:sz w:val="22"/>
                <w:szCs w:val="22"/>
                <w:highlight w:val="none"/>
                <w:lang w:val="en-US" w:eastAsia="zh-CN" w:bidi="ar"/>
              </w:rPr>
              <w:t xml:space="preserve">八、非机动车车棚</w:t>
            </w:r>
            <w:bookmarkEnd w:id="78"/>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车棚</w:t>
            </w:r>
            <w:r/>
          </w:p>
        </w:tc>
        <w:tc>
          <w:tcPr>
            <w:shd w:val="clear" w:color="auto" w:fill="ffffff"/>
            <w:tcW w:w="3363" w:type="pct"/>
            <w:vAlign w:val="center"/>
            <w:textDirection w:val="lrTb"/>
            <w:noWrap w:val="false"/>
          </w:tcPr>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#1.尺寸：长20米，宽2.8米，前檐高度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2.5m，后檐高度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2m。</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#2.主体支撑：直径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#3.顶棚前后支撑：直径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#4.钢材材质：Q235B；</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#5.顶棚：1050g阻燃材料张拉膜布；</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#6.充电横杆：50*150*2.0mm镀锌方管；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#7.表面高温静电喷涂处理；</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#8.立柱间距：每4米间距含主立柱两根、竖梁两根、充电横杆一根。</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56</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主电缆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3*6mm2；</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#2.材质：铜芯；</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#3.型号：YJV。</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电缆套管</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PE40。</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插座配线</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#1.名称：电气配线；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#2.配线形式：管内穿线；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#3.型号：BV；</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2.5mm2；</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#5.材质：铜芯。</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智能充电插座</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额定输入电压：AC220；</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额定输出电流：</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22A；</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额定输出功率：</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3000W；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#4.</w:t>
            </w:r>
            <w:r>
              <w:rPr>
                <w:rFonts w:hint="eastAsia" w:ascii="宋体" w:hAnsi="宋体" w:cs="宋体"/>
                <w:color w:val="auto"/>
                <w:sz w:val="22"/>
                <w:szCs w:val="22"/>
                <w:highlight w:val="none"/>
                <w:lang w:eastAsia="zh-CN" w:bidi="ar"/>
              </w:rPr>
              <w:t xml:space="preserve">待机功率：</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支付方式：刷卡；</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w:t>
            </w:r>
            <w:r>
              <w:rPr>
                <w:rFonts w:hint="eastAsia" w:ascii="宋体" w:hAnsi="宋体" w:cs="宋体"/>
                <w:color w:val="auto"/>
                <w:sz w:val="22"/>
                <w:szCs w:val="22"/>
                <w:highlight w:val="none"/>
                <w:lang w:eastAsia="zh-CN" w:bidi="ar"/>
              </w:rPr>
              <w:t xml:space="preserve">材质工艺</w:t>
            </w:r>
            <w:r>
              <w:rPr>
                <w:rFonts w:hint="eastAsia" w:ascii="宋体" w:hAnsi="宋体" w:cs="宋体"/>
                <w:color w:val="auto"/>
                <w:sz w:val="22"/>
                <w:szCs w:val="22"/>
                <w:highlight w:val="none"/>
                <w:lang w:val="en-US" w:eastAsia="zh-CN" w:bidi="ar"/>
              </w:rPr>
              <w:t xml:space="preserve">ABS；</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#7.接线端子：鞍型四卡位接线端子。</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IC卡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#1.版面：定制图案、logo；</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#2.存储容量：8kbit；</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#3.工作频率：13.56MHZ；</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#4.读写距离：2.5-10cm；</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#5.读写时间：1-2ms。</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张</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感应灯</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#1.T5高效节能长条形吸顶灯，</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24W。</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PVC软管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#1.PVC穿线配管</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#2.型号：</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DN25</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配线</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#1.≥RVV2*1.5mm2</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灭火器</w:t>
            </w:r>
            <w:r/>
          </w:p>
        </w:tc>
        <w:tc>
          <w:tcPr>
            <w:shd w:val="clear" w:color="auto" w:fill="ffffff"/>
            <w:tcW w:w="3363" w:type="pct"/>
            <w:vAlign w:val="center"/>
            <w:textDirection w:val="lrTb"/>
            <w:noWrap w:val="false"/>
          </w:tcPr>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#1.类型：S-10-AB水系灭火剂；</w:t>
            </w:r>
            <w:r/>
          </w:p>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#2.表明张力：(15.6±1.56)mN/m；</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#3.最小有效喷射时间：</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15s；</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#4.最小喷射距离：</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3.0m；</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#5.含安装固定座。</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配电箱</w:t>
            </w:r>
            <w:r/>
          </w:p>
        </w:tc>
        <w:tc>
          <w:tcPr>
            <w:shd w:val="clear" w:color="auto" w:fill="ffffff"/>
            <w:tcW w:w="3363" w:type="pct"/>
            <w:vAlign w:val="center"/>
            <w:textDirection w:val="lrTb"/>
            <w:noWrap w:val="false"/>
          </w:tcPr>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#1.长宽高≥300*250*160；</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#2.材质：不锈钢；</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#3.含空开等。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预埋铁件</w:t>
            </w:r>
            <w:r/>
          </w:p>
        </w:tc>
        <w:tc>
          <w:tcPr>
            <w:shd w:val="clear" w:color="auto" w:fill="ffffff"/>
            <w:tcW w:w="3363" w:type="pct"/>
            <w:vAlign w:val="center"/>
            <w:textDirection w:val="lrTb"/>
            <w:noWrap w:val="false"/>
          </w:tcPr>
          <w:p>
            <w:pPr>
              <w:jc w:val="left"/>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#1.含地笼、现浇构件钢筋、螺栓。</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基础施工</w:t>
            </w:r>
            <w:r/>
          </w:p>
        </w:tc>
        <w:tc>
          <w:tcPr>
            <w:shd w:val="clear" w:color="auto" w:fill="ffffff"/>
            <w:tcW w:w="3363" w:type="pct"/>
            <w:vAlign w:val="center"/>
            <w:textDirection w:val="lrTb"/>
            <w:noWrap w:val="false"/>
          </w:tcPr>
          <w:p>
            <w:pPr>
              <w:jc w:val="left"/>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#1.基坑尺寸：</w:t>
            </w:r>
            <w:r>
              <w:rPr>
                <w:rFonts w:ascii="宋体" w:hAnsi="宋体" w:cs="宋体"/>
                <w:color w:val="auto"/>
                <w:sz w:val="22"/>
                <w:szCs w:val="22"/>
                <w:highlight w:val="none"/>
                <w:lang w:eastAsia="zh-CN"/>
              </w:rPr>
              <w:t xml:space="preserve">≥</w:t>
            </w:r>
            <w:r>
              <w:rPr>
                <w:rFonts w:hint="eastAsia"/>
                <w:color w:val="auto"/>
                <w:highlight w:val="none"/>
                <w:lang w:val="en-US" w:eastAsia="zh-CN"/>
              </w:rPr>
              <w:t xml:space="preserve">80mm*80mm*80mm；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#2.含沥青路面开挖、电缆沟开槽、混凝土浇筑、沥青路面修复等。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微软雅黑" w:hAnsi="微软雅黑" w:eastAsia="微软雅黑" w:cs="微软雅黑"/>
                <w:i w:val="0"/>
                <w:iCs w:val="0"/>
                <w:color w:val="auto"/>
                <w:sz w:val="24"/>
                <w:szCs w:val="24"/>
                <w:highlight w:val="none"/>
                <w:u w:val="none"/>
                <w:lang w:val="en-US" w:eastAsia="zh-CN" w:bidi="ar"/>
              </w:rPr>
            </w:pPr>
            <w:r>
              <w:rPr>
                <w:rFonts w:hint="eastAsia" w:ascii="宋体" w:hAnsi="宋体" w:cs="宋体"/>
                <w:color w:val="auto"/>
                <w:sz w:val="22"/>
                <w:szCs w:val="22"/>
                <w:highlight w:val="none"/>
                <w:lang w:val="en-US" w:eastAsia="zh-CN" w:bidi="ar"/>
              </w:rPr>
              <w:t xml:space="preserve">接地</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1.2.5米铁棒打入地面做单独接地。</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套</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4"/>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标线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1.白实线（车位线）；</w:t>
            </w:r>
            <w:r>
              <w:rPr>
                <w:rFonts w:hint="eastAsia" w:ascii="宋体" w:hAnsi="宋体" w:cs="宋体"/>
                <w:color w:val="auto"/>
                <w:sz w:val="22"/>
                <w:szCs w:val="22"/>
                <w:highlight w:val="none"/>
                <w:lang w:val="en-US" w:eastAsia="zh-CN"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2.标线种类采用冷漆，线宽15cm；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#3.含原40米标线清除。</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25</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r/>
          </w:p>
        </w:tc>
      </w:tr>
      <w:tr>
        <w:trPr>
          <w:trHeight w:val="285"/>
        </w:trPr>
        <w:tc>
          <w:tcPr>
            <w:gridSpan w:val="5"/>
            <w:shd w:val="clear" w:color="auto" w:fill="ffffff"/>
            <w:tcW w:w="5000" w:type="pct"/>
            <w:vAlign w:val="center"/>
            <w:textDirection w:val="lrTb"/>
            <w:noWrap w:val="false"/>
          </w:tcPr>
          <w:p>
            <w:pPr>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highlight w:val="none"/>
                <w:lang w:val="en-US" w:eastAsia="zh-CN"/>
              </w:rPr>
              <w:t xml:space="preserve">注：采购清单及技术</w:t>
            </w:r>
            <w:r>
              <w:rPr>
                <w:rFonts w:hint="eastAsia" w:ascii="宋体" w:hAnsi="宋体" w:cs="宋体"/>
                <w:b/>
                <w:bCs/>
                <w:color w:val="auto"/>
                <w:sz w:val="24"/>
                <w:highlight w:val="none"/>
                <w:lang w:val="en-US" w:eastAsia="zh-CN"/>
              </w:rPr>
              <w:t xml:space="preserve">参数要求</w:t>
            </w:r>
            <w:r/>
          </w:p>
          <w:p>
            <w:pPr>
              <w:numPr>
                <w:ilvl w:val="0"/>
                <w:numId w:val="15"/>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采购清单中技术要求前标有“●”的为核心产品；提供相同品牌产品且通过资格审查、符合性审查的不同投标人参加同一合同项下投标的，按一家投标人计算,评审后得分最高的同品牌投标人获得中标人推荐资格；</w:t>
            </w:r>
            <w:r/>
          </w:p>
          <w:p>
            <w:pPr>
              <w:numPr>
                <w:ilvl w:val="0"/>
                <w:numId w:val="15"/>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采购清单中技术要求前标有“</w:t>
            </w: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eastAsia="zh-CN" w:bidi="ar"/>
              </w:rPr>
              <w:t xml:space="preserve">”的为实质性响应要求</w:t>
            </w:r>
            <w:r>
              <w:rPr>
                <w:rFonts w:hint="eastAsia" w:ascii="宋体" w:hAnsi="宋体" w:cs="宋体"/>
                <w:color w:val="auto"/>
                <w:sz w:val="22"/>
                <w:szCs w:val="22"/>
                <w:highlight w:val="none"/>
                <w:lang w:val="en-US" w:eastAsia="zh-CN" w:bidi="ar"/>
              </w:rPr>
              <w:t xml:space="preserve">技术参数</w:t>
            </w:r>
            <w:r>
              <w:rPr>
                <w:rFonts w:hint="eastAsia" w:ascii="宋体" w:hAnsi="宋体" w:cs="宋体"/>
                <w:color w:val="auto"/>
                <w:sz w:val="22"/>
                <w:szCs w:val="22"/>
                <w:highlight w:val="none"/>
                <w:lang w:eastAsia="zh-CN" w:bidi="ar"/>
              </w:rPr>
              <w:t xml:space="preserve">，不接受负偏离，无响应或不满足或未按指定证明材料提供的，视为无效标。</w:t>
            </w:r>
            <w:r/>
          </w:p>
          <w:p>
            <w:pPr>
              <w:numPr>
                <w:ilvl w:val="0"/>
                <w:numId w:val="15"/>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采购清单中技术要求前标有“▲”的为重要技术参数，按要求提供证明材料。</w:t>
            </w:r>
            <w:r/>
          </w:p>
          <w:p>
            <w:pPr>
              <w:numPr>
                <w:ilvl w:val="0"/>
                <w:numId w:val="15"/>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采购清单中技术要求前标有“☆☆”的为关键技术参数，按要求提供</w:t>
            </w:r>
            <w:r>
              <w:rPr>
                <w:rFonts w:hint="eastAsia" w:ascii="宋体" w:hAnsi="宋体" w:cs="宋体"/>
                <w:color w:val="auto"/>
                <w:sz w:val="22"/>
                <w:szCs w:val="22"/>
                <w:highlight w:val="none"/>
                <w:lang w:val="en-US" w:eastAsia="zh-CN" w:bidi="ar"/>
              </w:rPr>
              <w:t xml:space="preserve">视频</w:t>
            </w:r>
            <w:r>
              <w:rPr>
                <w:rFonts w:hint="eastAsia" w:ascii="宋体" w:hAnsi="宋体" w:cs="宋体"/>
                <w:color w:val="auto"/>
                <w:sz w:val="22"/>
                <w:szCs w:val="22"/>
                <w:highlight w:val="none"/>
                <w:lang w:eastAsia="zh-CN" w:bidi="ar"/>
              </w:rPr>
              <w:t xml:space="preserve">演示。</w:t>
            </w:r>
            <w:r/>
          </w:p>
          <w:p>
            <w:pPr>
              <w:numPr>
                <w:ilvl w:val="0"/>
                <w:numId w:val="15"/>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采购清单中技术要求前标有“#”的为一般技术参数，按要求响应，投标人须详尽真实的在《技术要求响应及偏离表》内逐条响应，且在《技术要求响应及偏离表》内详尽真实的列明“超出、符合或偏离”情况，否则将视为无响应或无效响应。</w:t>
            </w:r>
            <w:r/>
          </w:p>
          <w:p>
            <w:pPr>
              <w:numPr>
                <w:ilvl w:val="0"/>
                <w:numId w:val="15"/>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除特别标注尺寸偏差、大于、大于等于、小于及小于等于之外，其它固定尺寸允许偏差±5%。</w:t>
            </w:r>
            <w:r/>
          </w:p>
          <w:p>
            <w:pPr>
              <w:numPr>
                <w:ilvl w:val="0"/>
                <w:numId w:val="15"/>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numPr>
                <w:ilvl w:val="0"/>
                <w:numId w:val="15"/>
              </w:num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eastAsia="zh-CN" w:bidi="ar"/>
              </w:rPr>
              <w:t xml:space="preserve">中标人供货时产品的品牌、型号、必须和投标文件中填写的产品的品牌、型号一致，否则，采购人有权拒收并要求中标人按投标文件中填写的产品的品牌、型号供货。</w:t>
            </w:r>
            <w:r/>
          </w:p>
          <w:p>
            <w:pPr>
              <w:numPr>
                <w:ilvl w:val="0"/>
                <w:numId w:val="15"/>
              </w:numPr>
              <w:jc w:val="left"/>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家具及密集架中标后，中标人须提供产品结构图、样品小样或成品样板，经采购人审核确认同意后方可进场。</w:t>
            </w:r>
            <w:r/>
          </w:p>
          <w:p>
            <w:pPr>
              <w:numPr>
                <w:ilvl w:val="0"/>
                <w:numId w:val="15"/>
              </w:numPr>
              <w:jc w:val="left"/>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部分、C区临展厅、档案主题文化建设、</w:t>
            </w:r>
            <w:r>
              <w:rPr>
                <w:rFonts w:hint="eastAsia" w:ascii="宋体" w:hAnsi="宋体" w:cs="宋体"/>
                <w:b/>
                <w:bCs/>
                <w:color w:val="auto"/>
                <w:sz w:val="22"/>
                <w:szCs w:val="22"/>
                <w:highlight w:val="none"/>
                <w:lang w:val="en-US" w:eastAsia="zh-CN" w:bidi="ar"/>
              </w:rPr>
              <w:t xml:space="preserve">VI建设</w:t>
            </w:r>
            <w:r>
              <w:rPr>
                <w:rFonts w:hint="eastAsia" w:ascii="宋体" w:hAnsi="宋体" w:cs="宋体"/>
                <w:b/>
                <w:bCs/>
                <w:color w:val="auto"/>
                <w:sz w:val="22"/>
                <w:szCs w:val="22"/>
                <w:highlight w:val="none"/>
                <w:lang w:eastAsia="zh-CN" w:bidi="ar"/>
              </w:rPr>
              <w:t xml:space="preserve">、浮雕</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中标后在工程总量不增加的前提下，再次提交具体深化效果图纸及施工图纸，须征得采购人认可后方可进场施工。</w:t>
            </w:r>
            <w:r/>
          </w:p>
        </w:tc>
      </w:tr>
    </w:tbl>
    <w:p>
      <w:pPr>
        <w:spacing w:line="499" w:lineRule="atLeast"/>
        <w:shd w:val="clear" w:color="auto"/>
        <w:rPr>
          <w:rFonts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密集架分布</w:t>
      </w:r>
      <w:r>
        <w:rPr>
          <w:rFonts w:hint="eastAsia" w:ascii="宋体" w:hAnsi="宋体" w:eastAsia="宋体" w:cs="宋体"/>
          <w:b/>
          <w:bCs/>
          <w:sz w:val="22"/>
          <w:szCs w:val="22"/>
          <w:highlight w:val="none"/>
          <w:lang w:eastAsia="zh-CN"/>
        </w:rPr>
        <w:t xml:space="preserve">清单</w:t>
      </w:r>
      <w:r/>
    </w:p>
    <w:p>
      <w:pPr>
        <w:shd w:val="clear" w:color="auto"/>
        <w:rPr>
          <w:highlight w:val="none"/>
          <w:lang w:eastAsia="zh-CN"/>
        </w:rPr>
      </w:pPr>
      <w:r>
        <w:rPr>
          <w:highlight w:val="none"/>
          <w:lang w:eastAsia="zh-CN"/>
        </w:rPr>
      </w:r>
      <w:r/>
    </w:p>
    <w:tbl>
      <w:tblPr>
        <w:tblStyle w:val="7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414"/>
        <w:gridCol w:w="4260"/>
        <w:gridCol w:w="962"/>
        <w:gridCol w:w="894"/>
      </w:tblGrid>
      <w:tr>
        <w:trPr>
          <w:trHeight w:val="300"/>
        </w:trPr>
        <w:tc>
          <w:tcPr>
            <w:gridSpan w:val="5"/>
            <w:shd w:val="solid" w:color="ffffff" w:fill="auto"/>
            <w:tcW w:w="5000" w:type="pct"/>
            <w:vAlign w:val="top"/>
            <w:textDirection w:val="lrTb"/>
            <w:noWrap w:val="false"/>
          </w:tcPr>
          <w:p>
            <w:pPr>
              <w:jc w:val="center"/>
              <w:shd w:val="clear" w:color="auto"/>
              <w:rPr>
                <w:rFonts w:hint="eastAsia" w:ascii="宋体" w:hAnsi="宋体" w:cs="宋体"/>
                <w:b/>
                <w:color w:val="333333"/>
                <w:highlight w:val="none"/>
                <w:lang w:eastAsia="zh-CN"/>
              </w:rPr>
            </w:pPr>
            <w:r>
              <w:rPr>
                <w:rFonts w:hint="eastAsia" w:ascii="宋体" w:hAnsi="宋体" w:cs="宋体"/>
                <w:b/>
                <w:color w:val="333333"/>
                <w:highlight w:val="none"/>
                <w:lang w:eastAsia="zh-CN"/>
              </w:rPr>
              <w:t xml:space="preserve">密集架部分（二至四层）</w:t>
            </w:r>
            <w:r/>
          </w:p>
        </w:tc>
      </w:tr>
      <w:tr>
        <w:trPr>
          <w:trHeight w:val="327"/>
        </w:trPr>
        <w:tc>
          <w:tcPr>
            <w:shd w:val="solid" w:color="ffffff" w:fill="auto"/>
            <w:tcW w:w="52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序号</w:t>
            </w:r>
            <w:r/>
          </w:p>
        </w:tc>
        <w:tc>
          <w:tcPr>
            <w:shd w:val="solid" w:color="ffffff" w:fill="auto"/>
            <w:tcW w:w="84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名称</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位置</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单位</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数量</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1</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手动密集架</w:t>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3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档案库房2，库房面积470㎡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档案库房5，库房面积220㎡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档案库房6，库房面积470㎡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档案库房7，库房面积490㎡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档案库房9，库房面积220㎡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档案库房10，库房面积470㎡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档案库房11，库房面积490㎡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档案库房12，库房面积324㎡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419</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档案库房13，库房面积324㎡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450</w:t>
            </w:r>
            <w:r/>
          </w:p>
        </w:tc>
      </w:tr>
      <w:tr>
        <w:trPr>
          <w:trHeight w:val="35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lang w:eastAsia="zh-CN"/>
              </w:rPr>
              <w:t xml:space="preserve">4912</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2</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智能特殊载体密集架（档案库房8，库房面积650㎡）</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智能特殊载体密集架（知青档案)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87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智能特殊载体密集架(奖杯奖牌档案)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智能特殊载体密集架（防磁档案)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25</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53</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智能特殊载体密集架（印章档案）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42</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智能特殊载体密集架（底图档案）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50</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60</w:t>
            </w:r>
            <w:r/>
          </w:p>
        </w:tc>
      </w:tr>
      <w:tr>
        <w:trPr>
          <w:trHeight w:val="4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智能特殊载体密集架（字画档案(挂网式)）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71</w:t>
            </w:r>
            <w:r/>
          </w:p>
        </w:tc>
      </w:tr>
      <w:tr>
        <w:trPr>
          <w:trHeight w:val="38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465</w:t>
            </w:r>
            <w:r/>
          </w:p>
        </w:tc>
      </w:tr>
    </w:tbl>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t xml:space="preserve">附件</w:t>
      </w:r>
      <w:r>
        <w:rPr>
          <w:rFonts w:hint="eastAsia" w:ascii="宋体" w:hAnsi="宋体" w:cs="宋体"/>
          <w:b/>
          <w:bCs/>
          <w:highlight w:val="none"/>
          <w:lang w:val="en-US" w:eastAsia="zh-CN"/>
        </w:rPr>
        <w:t xml:space="preserve">2</w:t>
      </w:r>
      <w:r>
        <w:rPr>
          <w:rFonts w:hint="eastAsia" w:ascii="宋体" w:hAnsi="宋体" w:cs="宋体"/>
          <w:b/>
          <w:bCs/>
          <w:highlight w:val="none"/>
          <w:lang w:eastAsia="zh-CN"/>
        </w:rPr>
        <w:t xml:space="preserve">：设备清单</w:t>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tbl>
      <w:tblPr>
        <w:tblStyle w:val="788"/>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807"/>
        <w:gridCol w:w="1512"/>
        <w:gridCol w:w="4459"/>
        <w:gridCol w:w="813"/>
        <w:gridCol w:w="810"/>
      </w:tblGrid>
      <w:tr>
        <w:trPr>
          <w:trHeight w:val="23"/>
        </w:trPr>
        <w:tc>
          <w:tcPr>
            <w:gridSpan w:val="4"/>
            <w:tcBorders>
              <w:top w:val="single" w:color="000000" w:sz="4" w:space="0"/>
              <w:left w:val="single" w:color="000000" w:sz="4" w:space="0"/>
              <w:bottom w:val="single" w:color="000000" w:sz="4" w:space="0"/>
              <w:right w:val="single" w:color="000000" w:sz="4" w:space="0"/>
            </w:tcBorders>
            <w:tcW w:w="4517"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b/>
                <w:bCs/>
                <w:highlight w:val="none"/>
                <w:lang w:eastAsia="zh-CN"/>
              </w:rPr>
              <w:t xml:space="preserve">采购方自供</w:t>
            </w:r>
            <w:r>
              <w:rPr>
                <w:rFonts w:hint="eastAsia" w:ascii="宋体" w:hAnsi="宋体" w:cs="宋体"/>
                <w:b/>
                <w:bCs/>
                <w:highlight w:val="none"/>
                <w:lang w:val="en-US" w:eastAsia="zh-CN"/>
              </w:rPr>
              <w:t xml:space="preserve">设备</w:t>
            </w:r>
            <w:r>
              <w:rPr>
                <w:rFonts w:hint="eastAsia" w:ascii="宋体" w:hAnsi="宋体" w:cs="宋体"/>
                <w:b/>
                <w:bCs/>
                <w:highlight w:val="none"/>
                <w:lang w:eastAsia="zh-CN"/>
              </w:rPr>
              <w:t xml:space="preserve">清单</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板块</w:t>
            </w:r>
            <w:r/>
          </w:p>
        </w:tc>
        <w:tc>
          <w:tcPr>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t xml:space="preserve">自供产品名称</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数量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特藏库设施布局部分</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魔法墙交互</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投影机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雷达交互软件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大屏播放系统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LED屏幕</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m²</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触摸查询交互系统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中控系统</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显示器</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智能灯光服务器端软件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档案主题文化建设部分</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bl>
    <w:p>
      <w:pPr>
        <w:spacing w:line="499" w:lineRule="atLeast"/>
        <w:shd w:val="clear" w:color="auto"/>
        <w:rPr>
          <w:rFonts w:ascii="宋体" w:hAnsi="宋体" w:cs="宋体"/>
          <w:b/>
          <w:bCs/>
          <w:sz w:val="22"/>
          <w:szCs w:val="22"/>
          <w:highlight w:val="none"/>
          <w:lang w:eastAsia="zh-CN"/>
        </w:rPr>
      </w:pPr>
      <w:r>
        <w:rPr>
          <w:rFonts w:ascii="宋体" w:hAnsi="宋体" w:cs="宋体"/>
          <w:b/>
          <w:bCs/>
          <w:sz w:val="22"/>
          <w:szCs w:val="22"/>
          <w:highlight w:val="none"/>
          <w:lang w:eastAsia="zh-CN"/>
        </w:rPr>
      </w:r>
      <w:r/>
    </w:p>
    <w:p>
      <w:pPr>
        <w:ind w:firstLine="221"/>
        <w:spacing w:line="499" w:lineRule="atLeast"/>
        <w:shd w:val="clear" w:color="auto"/>
        <w:rPr>
          <w:rFonts w:hint="default" w:ascii="宋体" w:hAnsi="宋体" w:cs="宋体"/>
          <w:b/>
          <w:bCs/>
          <w:sz w:val="22"/>
          <w:szCs w:val="22"/>
          <w:highlight w:val="none"/>
          <w:lang w:val="en-US" w:eastAsia="zh-CN"/>
        </w:rPr>
      </w:pPr>
      <w:r>
        <w:rPr>
          <w:rFonts w:ascii="宋体" w:hAnsi="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3</w:t>
      </w:r>
      <w:r>
        <w:rPr>
          <w:rFonts w:hint="eastAsia" w:ascii="宋体" w:hAnsi="宋体" w:cs="宋体"/>
          <w:b/>
          <w:bCs/>
          <w:sz w:val="22"/>
          <w:szCs w:val="22"/>
          <w:highlight w:val="none"/>
          <w:lang w:eastAsia="zh-CN"/>
        </w:rPr>
        <w:t xml:space="preserve">：</w:t>
      </w:r>
      <w:r>
        <w:rPr>
          <w:rFonts w:ascii="宋体" w:hAnsi="宋体" w:cs="宋体"/>
          <w:b/>
          <w:bCs/>
          <w:sz w:val="22"/>
          <w:szCs w:val="22"/>
          <w:highlight w:val="none"/>
          <w:lang w:eastAsia="zh-CN"/>
        </w:rPr>
        <w:t xml:space="preserve">电气控制部分配置要求</w:t>
      </w:r>
      <w:r/>
    </w:p>
    <w:tbl>
      <w:tblPr>
        <w:tblStyle w:val="788"/>
        <w:tblW w:w="5000"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03"/>
        <w:gridCol w:w="2540"/>
        <w:gridCol w:w="5119"/>
      </w:tblGrid>
      <w:tr>
        <w:trPr>
          <w:trHeight w:val="450"/>
        </w:trPr>
        <w:tc>
          <w:tcPr>
            <w:gridSpan w:val="3"/>
            <w:shd w:val="clear" w:color="auto" w:fill="ffffff"/>
            <w:tcBorders>
              <w:bottom w:val="single" w:color="666666" w:sz="2" w:space="0"/>
              <w:right w:val="single" w:color="666666" w:sz="2" w:space="0"/>
            </w:tcBorders>
            <w:tcMar>
              <w:left w:w="38" w:type="dxa"/>
              <w:top w:w="38" w:type="dxa"/>
              <w:right w:w="34" w:type="dxa"/>
              <w:bottom w:w="34" w:type="dxa"/>
            </w:tcMar>
            <w:tcW w:w="5000" w:type="pct"/>
            <w:vAlign w:val="center"/>
            <w:textDirection w:val="lrTb"/>
            <w:noWrap w:val="false"/>
          </w:tcPr>
          <w:p>
            <w:pPr>
              <w:jc w:val="center"/>
              <w:shd w:val="clear" w:color="auto"/>
              <w:rPr>
                <w:rFonts w:ascii="宋体" w:hAnsi="宋体" w:cs="宋体"/>
                <w:color w:val="333333"/>
                <w:sz w:val="28"/>
                <w:szCs w:val="28"/>
                <w:highlight w:val="none"/>
                <w:lang w:eastAsia="zh-CN"/>
              </w:rPr>
            </w:pPr>
            <w:r>
              <w:rPr>
                <w:rFonts w:ascii="宋体" w:hAnsi="宋体" w:cs="宋体"/>
                <w:b/>
                <w:bCs/>
                <w:color w:val="333333"/>
                <w:sz w:val="28"/>
                <w:szCs w:val="28"/>
                <w:highlight w:val="none"/>
                <w:lang w:eastAsia="zh-CN"/>
              </w:rPr>
              <w:t xml:space="preserve">电气控制部分配置要求</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序号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部件名称</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参数</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减速电动机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电压直流24V、功率120W无刷电机</w:t>
            </w:r>
            <w:r/>
          </w:p>
        </w:tc>
      </w:tr>
      <w:tr>
        <w:trPr>
          <w:trHeight w:val="9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工业级高性能plc控制模块</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电压直流24V、通讯模式采用485接口</w:t>
            </w:r>
            <w:r/>
          </w:p>
        </w:tc>
      </w:tr>
      <w:tr>
        <w:trPr>
          <w:trHeight w:val="3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通道双向导引灯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与密集架配套</w:t>
            </w:r>
            <w:r/>
          </w:p>
        </w:tc>
      </w:tr>
      <w:tr>
        <w:trPr>
          <w:trHeight w:val="38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开关电源</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DC24V</w:t>
            </w:r>
            <w:r/>
          </w:p>
        </w:tc>
      </w:tr>
      <w:tr>
        <w:trPr>
          <w:trHeight w:val="35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接近开关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M30、DC10V-36V</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通信电缆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RVSP</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阻燃电缆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RVV</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LED条状灯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 24V、LED</w:t>
            </w:r>
            <w:r/>
          </w:p>
        </w:tc>
      </w:tr>
      <w:tr>
        <w:trPr>
          <w:trHeight w:val="32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9</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应急驱动器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低压24V、带充电USB接口</w:t>
            </w:r>
            <w:r/>
          </w:p>
        </w:tc>
      </w:tr>
      <w:tr>
        <w:trPr>
          <w:trHeight w:val="53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固定列显示屏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采用全视角彩色液晶显示迪文屏，尺寸≥18.5寸，屏幕分辨率≥于1920*1080像素。</w:t>
            </w:r>
            <w:r/>
          </w:p>
        </w:tc>
      </w:tr>
      <w:tr>
        <w:trPr>
          <w:trHeight w:val="324"/>
        </w:trPr>
        <w:tc>
          <w:tcPr>
            <w:shd w:val="clear" w:color="auto" w:fill="auto"/>
            <w:tcBorders>
              <w:top w:val="single" w:color="666666" w:sz="2" w:space="0"/>
              <w:bottom w:val="single" w:color="666666" w:sz="2" w:space="0"/>
              <w:right w:val="single" w:color="666666" w:sz="2" w:space="0"/>
            </w:tcBorders>
            <w:tcW w:w="365"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auto"/>
            <w:tcBorders>
              <w:top w:val="single" w:color="666666" w:sz="2" w:space="0"/>
              <w:left w:val="single" w:color="666666" w:sz="2" w:space="0"/>
              <w:bottom w:val="single" w:color="666666" w:sz="2" w:space="0"/>
              <w:right w:val="single" w:color="666666" w:sz="2" w:space="0"/>
            </w:tcBorders>
            <w:tcW w:w="1537"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固定列液晶屏幕安装在上侧面板中。</w:t>
            </w:r>
            <w:r/>
          </w:p>
        </w:tc>
      </w:tr>
      <w:tr>
        <w:trPr>
          <w:trHeight w:val="31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列号屏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采用直径</w:t>
            </w:r>
            <w:r>
              <w:rPr>
                <w:rFonts w:ascii="宋体" w:hAnsi="宋体" w:cs="宋体"/>
                <w:color w:val="333333"/>
                <w:sz w:val="22"/>
                <w:szCs w:val="22"/>
                <w:highlight w:val="none"/>
              </w:rPr>
              <w:t xml:space="preserve">φ</w:t>
            </w:r>
            <w:r>
              <w:rPr>
                <w:rFonts w:ascii="宋体" w:hAnsi="宋体" w:cs="宋体"/>
                <w:color w:val="333333"/>
                <w:sz w:val="22"/>
                <w:szCs w:val="22"/>
                <w:highlight w:val="none"/>
                <w:lang w:eastAsia="zh-CN"/>
              </w:rPr>
              <w:t xml:space="preserve">100mm圆形黑色屏，蓝色字幕。</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漏电保护器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220V、32A</w:t>
            </w:r>
            <w:r/>
          </w:p>
        </w:tc>
      </w:tr>
      <w:tr>
        <w:trPr>
          <w:trHeight w:val="55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电源开关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开关额定值10A/250VAC,LED灯蓝色，自锁式，安装孔尺寸φ22mm。</w:t>
            </w:r>
            <w:r/>
          </w:p>
        </w:tc>
      </w:tr>
      <w:tr>
        <w:trPr>
          <w:trHeight w:val="34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行程开关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输入DC24V、机械寿命大于600000次</w:t>
            </w:r>
            <w:r/>
          </w:p>
        </w:tc>
      </w:tr>
      <w:tr>
        <w:trPr>
          <w:trHeight w:val="43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温湿度变送器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输入24VDC、输出RS-485、温度采集精度：±0.1℃、湿度采集精度±0.1%RH</w:t>
            </w:r>
            <w:r/>
          </w:p>
        </w:tc>
      </w:tr>
      <w:tr>
        <w:trPr>
          <w:trHeight w:val="39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红外安全保护装置</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输入电源DC24V、保护结构≥IP64</w:t>
            </w:r>
            <w:r/>
          </w:p>
        </w:tc>
      </w:tr>
      <w:tr>
        <w:trPr>
          <w:trHeight w:val="36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密集架固定列管理软件</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r>
        <w:trPr>
          <w:trHeight w:val="40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密集架综合管理软件系统</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bl>
    <w:p>
      <w:pPr>
        <w:spacing w:before="0" w:after="0" w:line="499" w:lineRule="atLeast"/>
        <w:shd w:val="clear" w:color="auto"/>
        <w:rPr>
          <w:rFonts w:ascii="宋体" w:hAnsi="宋体" w:eastAsia="宋体" w:cs="宋体"/>
          <w:b/>
          <w:bCs/>
          <w:sz w:val="22"/>
          <w:szCs w:val="22"/>
          <w:highlight w:val="none"/>
        </w:rPr>
      </w:pPr>
      <w:r>
        <w:rPr>
          <w:rFonts w:ascii="宋体" w:hAnsi="宋体" w:eastAsia="宋体" w:cs="宋体"/>
          <w:b/>
          <w:bCs/>
          <w:sz w:val="22"/>
          <w:szCs w:val="22"/>
          <w:highlight w:val="none"/>
        </w:rPr>
      </w:r>
      <w:r/>
    </w:p>
    <w:p>
      <w:pPr>
        <w:ind w:firstLine="442"/>
        <w:spacing w:line="499" w:lineRule="atLeast"/>
        <w:shd w:val="clear" w:color="auto"/>
        <w:rPr>
          <w:rFonts w:ascii="宋体" w:hAnsi="宋体" w:cs="宋体"/>
          <w:highlight w:val="none"/>
          <w:lang w:eastAsia="zh-CN"/>
        </w:rPr>
        <w:outlineLvl w:val="0"/>
      </w:pPr>
      <w:r>
        <w:rPr>
          <w:rFonts w:ascii="宋体" w:hAnsi="宋体" w:cs="宋体"/>
          <w:b/>
          <w:bCs/>
          <w:sz w:val="22"/>
          <w:szCs w:val="22"/>
          <w:highlight w:val="none"/>
          <w:lang w:eastAsia="zh-CN"/>
        </w:rPr>
        <w:t xml:space="preserve">三、采购标的需实现的功能或者目标，以及为落实政府采购政策需满足的要求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1、节能、环保产品政策</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2、商品包装、快递包装政府采购需求标准（试行）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3、绿色数据中心政府采购需求标准（试行）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4、限制标准的产品要求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本项目中涉及涂料、胶黏剂、油墨、清洗剂等挥发性有机物产品的，属于强制性标准的，投标人应当提供符合国家和江苏省相关VOCs含量限制标准的产品。</w:t>
      </w:r>
      <w:r/>
    </w:p>
    <w:p>
      <w:pPr>
        <w:ind w:firstLine="451"/>
        <w:spacing w:line="499" w:lineRule="atLeast"/>
        <w:shd w:val="clear" w:color="auto"/>
        <w:widowControl w:val="off"/>
        <w:rPr>
          <w:rFonts w:ascii="宋体" w:hAnsi="宋体" w:cs="宋体"/>
          <w:highlight w:val="none"/>
          <w:lang w:eastAsia="zh-CN"/>
        </w:rPr>
        <w:outlineLvl w:val="0"/>
      </w:pPr>
      <w:r>
        <w:rPr>
          <w:rFonts w:ascii="宋体" w:hAnsi="宋体" w:cs="宋体"/>
          <w:b/>
          <w:bCs/>
          <w:sz w:val="22"/>
          <w:szCs w:val="22"/>
          <w:highlight w:val="none"/>
          <w:lang w:eastAsia="zh-CN"/>
        </w:rPr>
        <w:t xml:space="preserve">四、项目实施需求</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（一）项目质量保证和进度保证措施需求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1、项目质量保证需求：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投标人针对本项目提供详细的质量保证方案，内容包括但不限于：</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在制造过程中，制造商应严格遵循相关的技术规范和工艺流程，确保每个制造环节都符合质量控制要求。严格的质量控制：对每个生产环节进行质量检查和控制，确保每个环节都符合质量标准等。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2、</w:t>
      </w:r>
      <w:r>
        <w:rPr>
          <w:rFonts w:ascii="宋体" w:hAnsi="宋体" w:cs="宋体"/>
          <w:sz w:val="22"/>
          <w:szCs w:val="22"/>
          <w:highlight w:val="none"/>
          <w:lang w:eastAsia="zh-CN"/>
        </w:rPr>
        <w:t xml:space="preserve">进度保证措施</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根据实际需求，确定本项目时间节点，如项目启动日期、出厂日期、交货日期、安装及调试时间规划、试运行时间安排等，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（2）货物运输中可能存</w:t>
      </w:r>
      <w:r>
        <w:rPr>
          <w:rFonts w:hint="eastAsia" w:ascii="宋体" w:hAnsi="宋体" w:cs="宋体"/>
          <w:sz w:val="22"/>
          <w:szCs w:val="22"/>
          <w:highlight w:val="none"/>
          <w:lang w:val="en-US" w:eastAsia="zh-CN"/>
        </w:rPr>
        <w:t xml:space="preserve">在的</w:t>
      </w:r>
      <w:r>
        <w:rPr>
          <w:rFonts w:ascii="宋体" w:hAnsi="宋体" w:cs="宋体"/>
          <w:sz w:val="22"/>
          <w:szCs w:val="22"/>
          <w:highlight w:val="none"/>
          <w:lang w:eastAsia="zh-CN"/>
        </w:rPr>
        <w:t xml:space="preserve">风险及风险预防、应对措施，以确保按期、保质的将本项目采购的所有产品运输至采购人指定的交货地点等。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3、安装施工现场要求：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w:t>
      </w:r>
      <w:r>
        <w:rPr>
          <w:rFonts w:hint="eastAsia" w:ascii="宋体" w:hAnsi="宋体" w:cs="宋体"/>
          <w:sz w:val="22"/>
          <w:szCs w:val="22"/>
          <w:highlight w:val="none"/>
          <w:lang w:val="en-US" w:eastAsia="zh-CN"/>
        </w:rPr>
        <w:t xml:space="preserve">应自行组织现场勘察，</w:t>
      </w:r>
      <w:r>
        <w:rPr>
          <w:rFonts w:ascii="宋体" w:hAnsi="宋体" w:cs="宋体"/>
          <w:sz w:val="22"/>
          <w:szCs w:val="22"/>
          <w:highlight w:val="none"/>
          <w:lang w:eastAsia="zh-CN"/>
        </w:rPr>
        <w:t xml:space="preserve">针对本项目</w:t>
      </w:r>
      <w:r>
        <w:rPr>
          <w:rFonts w:hint="eastAsia" w:ascii="宋体" w:hAnsi="宋体" w:cs="宋体"/>
          <w:sz w:val="22"/>
          <w:szCs w:val="22"/>
          <w:highlight w:val="none"/>
          <w:lang w:val="en-US" w:eastAsia="zh-CN"/>
        </w:rPr>
        <w:t xml:space="preserve">组建管理团队，</w:t>
      </w:r>
      <w:r>
        <w:rPr>
          <w:rFonts w:ascii="宋体" w:hAnsi="宋体" w:cs="宋体"/>
          <w:sz w:val="22"/>
          <w:szCs w:val="22"/>
          <w:highlight w:val="none"/>
          <w:lang w:eastAsia="zh-CN"/>
        </w:rPr>
        <w:t xml:space="preserve">提供详细的安装现场管理、安装及调试方案，内容包括但不限于：</w:t>
      </w:r>
      <w:r/>
    </w:p>
    <w:p>
      <w:pPr>
        <w:numPr>
          <w:ilvl w:val="0"/>
          <w:numId w:val="16"/>
        </w:num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人员的职责架构及分工、项目管理运行机制等；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本项目为一项涉及多项系统作业项目，需成立项目管理小组，并组建项目团队，中标方应派驻现场项目负责人及成员具备相关信息系统项目管理、综合布线、软件设计开发等专业技术能力，配备如下：</w:t>
      </w:r>
      <w:r/>
    </w:p>
    <w:tbl>
      <w:tblPr>
        <w:tblStyle w:val="788"/>
        <w:tblW w:w="8478"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1373"/>
        <w:gridCol w:w="2430"/>
        <w:gridCol w:w="3290"/>
        <w:gridCol w:w="945"/>
      </w:tblGrid>
      <w:tr>
        <w:trPr>
          <w:trHeight w:val="465"/>
        </w:trPr>
        <w:tc>
          <w:tcPr>
            <w:gridSpan w:val="5"/>
            <w:tcW w:w="8478" w:type="dxa"/>
            <w:vAlign w:val="center"/>
            <w:textDirection w:val="lrTb"/>
            <w:noWrap w:val="false"/>
          </w:tcPr>
          <w:p>
            <w:pPr>
              <w:jc w:val="center"/>
              <w:shd w:val="clear" w:color="auto"/>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公司人员履约能力</w:t>
            </w:r>
            <w:r/>
          </w:p>
        </w:tc>
      </w:tr>
      <w:tr>
        <w:trPr>
          <w:trHeight w:val="624"/>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序号</w:t>
            </w:r>
            <w:r/>
          </w:p>
        </w:tc>
        <w:tc>
          <w:tcPr>
            <w:tcW w:w="1373" w:type="dxa"/>
            <w:vAlign w:val="center"/>
            <w:textDirection w:val="lrTb"/>
            <w:noWrap w:val="false"/>
          </w:tcPr>
          <w:p>
            <w:pPr>
              <w:jc w:val="center"/>
              <w:shd w:val="clear" w:color="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岗位</w:t>
            </w:r>
            <w:r/>
          </w:p>
        </w:tc>
        <w:tc>
          <w:tcPr>
            <w:shd w:val="clear" w:color="auto" w:fill="auto"/>
            <w:tcW w:w="2430" w:type="dxa"/>
            <w:vAlign w:val="center"/>
            <w:textDirection w:val="lrTb"/>
            <w:noWrap w:val="false"/>
          </w:tcPr>
          <w:p>
            <w:pPr>
              <w:jc w:val="center"/>
              <w:shd w:val="clear" w:color="auto"/>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rPr>
              <w:t xml:space="preserve">人员能力</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工作职责</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人数</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项目经理</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信息系统项目管理师</w:t>
            </w:r>
            <w:r>
              <w:rPr>
                <w:rFonts w:hint="eastAsia"/>
                <w:sz w:val="22"/>
                <w:szCs w:val="22"/>
                <w:highlight w:val="none"/>
                <w:lang w:val="en-US" w:eastAsia="zh-CN"/>
              </w:rPr>
              <w:t xml:space="preserve">或</w:t>
            </w:r>
            <w:r>
              <w:rPr>
                <w:rFonts w:hint="default"/>
                <w:sz w:val="22"/>
                <w:szCs w:val="22"/>
                <w:highlight w:val="none"/>
                <w:lang w:eastAsia="zh-CN"/>
              </w:rPr>
              <w:t xml:space="preserve">网络规划设计师</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应具备丰富的系统集成项目管理经验，负责项目的总体实施管理工作，与用户负责人建立沟通联系，承担项目总体进度把控、计划制定、智能密集架联调、服务器配置、</w:t>
            </w:r>
            <w:r>
              <w:rPr>
                <w:rFonts w:hint="eastAsia" w:ascii="宋体" w:hAnsi="宋体" w:cs="宋体"/>
                <w:sz w:val="22"/>
                <w:szCs w:val="22"/>
                <w:highlight w:val="none"/>
                <w:lang w:val="en-US" w:eastAsia="zh-CN"/>
              </w:rPr>
              <w:t xml:space="preserve">布线施工</w:t>
            </w:r>
            <w:r>
              <w:rPr>
                <w:rFonts w:hint="eastAsia" w:ascii="宋体" w:hAnsi="宋体" w:cs="宋体"/>
                <w:sz w:val="22"/>
                <w:szCs w:val="22"/>
                <w:highlight w:val="none"/>
                <w:lang w:eastAsia="zh-CN"/>
              </w:rPr>
              <w:t xml:space="preserve">等各项工作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其他人员</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软件设计师</w:t>
            </w:r>
            <w:r>
              <w:rPr>
                <w:rFonts w:hint="eastAsia"/>
                <w:sz w:val="22"/>
                <w:szCs w:val="22"/>
                <w:highlight w:val="none"/>
                <w:lang w:val="en-US" w:eastAsia="zh-CN"/>
              </w:rPr>
              <w:t xml:space="preserve">或</w:t>
            </w:r>
            <w:r>
              <w:rPr>
                <w:rFonts w:hint="default"/>
                <w:sz w:val="22"/>
                <w:szCs w:val="22"/>
                <w:highlight w:val="none"/>
                <w:lang w:eastAsia="zh-CN"/>
              </w:rPr>
              <w:t xml:space="preserve">网络工程师证书</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负责密集架控制软件等的开发与配置、优化调试工作。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59"/>
        </w:trPr>
        <w:tc>
          <w:tcPr>
            <w:gridSpan w:val="4"/>
            <w:tcW w:w="7533" w:type="dxa"/>
            <w:vAlign w:val="center"/>
            <w:textDirection w:val="lrTb"/>
            <w:noWrap w:val="false"/>
          </w:tcPr>
          <w:p>
            <w:pPr>
              <w:jc w:val="center"/>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合计</w:t>
            </w:r>
            <w:r/>
          </w:p>
        </w:tc>
        <w:tc>
          <w:tcPr>
            <w:tcW w:w="945"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r>
    </w:tbl>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中标供应商应对安装施工安全、进度、质量全面负责、保障系统正常运行，并承担设备保护，如因中标供应商原因造成网络规划不合理、安全事故、质量事故、设备损坏等，中标方应承担一切经济法律责任。</w:t>
      </w:r>
      <w:r/>
    </w:p>
    <w:p>
      <w:pPr>
        <w:ind w:firstLine="440"/>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）安装的步骤、方法、调试、测试、检测等。</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）安装调试包括但不限于安装节点、亮点、注意事项、轨道重点描述，充分考虑潜在的风险因素，</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（4）标的物由中标方负责安装，现场调试。所有安装货物质量必须严格按照国家规范及江苏省相应地方规范、招标文件、材料厂家的技术规范的有关要求执行。</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4、培训方案</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（1）培训对象</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针对实际工作和业务需要，本次培训对象分为设备管理员，包括设备安装调试、备件更换、数据维护等操作人员。</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（2）培训内容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本项目重点培训设备的安装调试、备件更换、数据维护、故障诊断等内容。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（3）培训时间</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售后服务</w:t>
      </w:r>
      <w:r>
        <w:rPr>
          <w:rFonts w:ascii="宋体" w:hAnsi="宋体" w:cs="宋体"/>
          <w:sz w:val="22"/>
          <w:szCs w:val="22"/>
          <w:highlight w:val="none"/>
          <w:lang w:eastAsia="zh-CN"/>
        </w:rPr>
        <w:t xml:space="preserve">期内每年至少培训2次，培训时间每次1-2天，具体可根据采购单位待培训人员总数情况确定。</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（二）售后服务方案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针对密集架、档案馆特藏库及档案文化、C区临展厅、查档大厅及1-4层办公家具、档案主题文化建设、浮雕、</w:t>
      </w:r>
      <w:r>
        <w:rPr>
          <w:rFonts w:hint="eastAsia" w:ascii="宋体" w:hAnsi="宋体" w:cs="宋体"/>
          <w:sz w:val="22"/>
          <w:szCs w:val="22"/>
          <w:highlight w:val="none"/>
          <w:lang w:val="en-US" w:eastAsia="zh-CN"/>
        </w:rPr>
        <w:t xml:space="preserve">非机动车车棚</w:t>
      </w:r>
      <w:r>
        <w:rPr>
          <w:rFonts w:hint="eastAsia" w:ascii="宋体" w:hAnsi="宋体" w:cs="宋体"/>
          <w:sz w:val="22"/>
          <w:szCs w:val="22"/>
          <w:highlight w:val="none"/>
          <w:lang w:eastAsia="zh-CN"/>
        </w:rPr>
        <w:t xml:space="preserve">等全部采购及施工项目，遵循“量化标准、快速响应、全程保障、终身维护”的原则，明确售后服务全流程、全节点的量化要求，确保项目交付后稳定运行，全面匹配档案馆日常办公、档案管护、文化展示等核心需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1、售后服务总则</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1.1服务目标</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1.1.1响应时效：紧急故障≤1小时响应、一般故障≤2小时响应，确保故障处置高效快捷；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1.1.2维修达标：故障修复率≥90%，核心设备（智能密集架、中控系统等）修复率100%；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1.1.3质保合规：严格按各品类量化售后服务期执行，售后服务期内零收费（人为损坏除外）；</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1.1.4客户满意度：售后服务满意度≥90分（满分100分），投诉处理办结率100%。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1.2服务范围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覆盖本项目采购清单中所有产品（设备、家具、辅材）的安装调试、质保维修、配件更换、技术培训、系统升级、定期巡检等全部售后服务，具体包括：</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1.2.1密集架部分：手动密集架、智能特殊载体密集架、樟木板、书梯、书车的维修、保养、系统升级。</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1.2.2</w:t>
      </w:r>
      <w:r>
        <w:rPr>
          <w:rFonts w:hint="eastAsia" w:ascii="宋体" w:hAnsi="宋体" w:cs="宋体"/>
          <w:sz w:val="22"/>
          <w:szCs w:val="22"/>
          <w:highlight w:val="none"/>
          <w:lang w:eastAsia="zh-CN"/>
        </w:rPr>
        <w:t xml:space="preserve">特藏库及档案文化部分：石膏板天花、铝方通吊顶、墙体、强电改造、轨道射灯、交互设备（魔法墙、触摸查询）、机房中控系统、展柜等；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 C区临展厅：主题墙、展墙、强弱电改造、轨道射灯、独立展示柜等；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查档大厅及1-4层办公家具：查档工作台、休闲椅、目录架、指挥台、文件柜、办公桌椅等所有家具；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档案主题文化建设：各类文化墙、屏风隔断、服务吧台、导示牌、文化物料、门窗雨棚等；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lang w:eastAsia="zh-CN"/>
        </w:rPr>
        <w:t xml:space="preserve">浮雕及顶部动态星空：主题浮雕、动态星空灯箱的维修、维护；</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1.2.7非机动车车棚：车棚、充电插座、IC卡的日常维护。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1.3服务团队配置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组建专属售后服务团队，明确岗位职责及人员数量，确保服务落地：</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负责人1名：全程统筹售后服务，对接甲方需求，协调解决各类售后问题，响应时间≤30分钟；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1.3.2技术</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3名：负责智能设备（中控、交互系统、密集架）的维修、调试、升级，均具备档案馆同类项目技术服务经验；</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1.3.3维修技工4名：负责家具、展柜、墙体、吊顶、门窗等施工及产品的维修、维护，具备相关经验；</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1.3.4客服专员1名：24小时接听售后电话，记录故障信息、反馈处理进度。</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2、响应与维修时效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2.1故障响应时效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按故障等级分类，明确响应、到场、修复的具体时限，确保高效处置：</w:t>
      </w:r>
      <w:r/>
    </w:p>
    <w:tbl>
      <w:tblPr>
        <w:tblStyle w:val="788"/>
        <w:tblW w:w="9171" w:type="dxa"/>
        <w:tblInd w:w="-181" w:type="dxa"/>
        <w:tblLayout w:type="autofit"/>
        <w:tblCellMar>
          <w:left w:w="108" w:type="dxa"/>
          <w:top w:w="0" w:type="dxa"/>
          <w:right w:w="108" w:type="dxa"/>
          <w:bottom w:w="0" w:type="dxa"/>
        </w:tblCellMar>
        <w:tblLook w:val="04A0" w:firstRow="1" w:lastRow="0" w:firstColumn="1" w:lastColumn="0" w:noHBand="0" w:noVBand="1"/>
      </w:tblPr>
      <w:tblGrid>
        <w:gridCol w:w="1359"/>
        <w:gridCol w:w="3578"/>
        <w:gridCol w:w="1166"/>
        <w:gridCol w:w="1174"/>
        <w:gridCol w:w="1894"/>
      </w:tblGrid>
      <w:tr>
        <w:trPr>
          <w:trHeight w:val="576"/>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故障等级</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ind w:firstLine="440"/>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故障描述</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响应时效</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到场时效</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修复时效</w:t>
            </w:r>
            <w:r/>
          </w:p>
        </w:tc>
      </w:tr>
      <w:tr>
        <w:trPr>
          <w:trHeight w:val="1087"/>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一级（紧急）</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智能密集架无法运行、中控系统瘫痪、大屏无画面、强电短路、展柜玻璃破损（危及档案安全）</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≤4小时（重大故障≤24小时）</w:t>
            </w:r>
            <w:r/>
          </w:p>
        </w:tc>
      </w:tr>
      <w:tr>
        <w:trPr>
          <w:trHeight w:val="1199"/>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二级（一般）</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轨道射灯不亮、交互设备感应迟钝、家具抽屉卡顿、密集架摇力异常、文化墙局部脱落</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≤8小时（需更换配件的≤24小时）</w:t>
            </w:r>
            <w:r/>
          </w:p>
        </w:tc>
      </w:tr>
      <w:tr>
        <w:trPr>
          <w:trHeight w:val="892"/>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三级（轻微）</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漆面轻微脱落、小范围墙布起边、导示牌轻微松动、家具轻微异响</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≤48小时</w:t>
            </w:r>
            <w:r/>
          </w:p>
        </w:tc>
      </w:tr>
    </w:tbl>
    <w:p>
      <w:pPr>
        <w:ind w:firstLine="442"/>
        <w:spacing w:line="499" w:lineRule="atLeast"/>
        <w:shd w:val="clear" w:color="auto"/>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2</w:t>
      </w:r>
      <w:r>
        <w:rPr>
          <w:rFonts w:hint="eastAsia" w:ascii="宋体" w:hAnsi="宋体" w:cs="宋体"/>
          <w:sz w:val="22"/>
          <w:szCs w:val="22"/>
          <w:highlight w:val="none"/>
        </w:rPr>
        <w:t xml:space="preserve">.2维修流程与要求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2.2.1报修登记：甲方通过售后电话、微信、邮件等方式报修，客服专员10分钟内完成信息登记（明确故障位置、类型、描述），并反馈报修编号；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2.2.2故障诊断：技术工程师30分钟内完成远程诊断，能远程解决的（如软件调试、简单设置），立即远程处置，处置完成后10分钟内回访确认；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2.2.3现场维修：远程无法解决的，按到场时效派遣工程师携带配件到场，维修前先拍照留存，维修过程中做好防护（避免损坏档案、设备），维修完成后，工程师与甲方负责人共同验收，签署维修确认单；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2.2.4配件更换：需更换配件的，常用配件（如开关、灯珠、五金件）现场立即更换；特殊配件（如智能密集架电机、中控模块），承诺≤72小时到位并完成更换；</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2.2.5回访确认：维修完成后24小时内，客服专员进行回访，确认故障彻底解决，记录客户反馈，形成售后闭环。</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2.3投诉处理时效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2.3.1投诉接收：接到甲方投诉后，1小时内响应，明确投诉处理负责人；</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2.3.2投诉调查：24小时内完成调查，明确投诉原因、责任主体；</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2.3.3处理反馈：调查完成后24小时内，向甲方反馈处理方案，按方案执行处置；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2.3.4办结回访：投诉处置完成后48小时内，回访甲方，确认满意度，投诉办结率100%，投诉整改率100%。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3、技术培训服务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为甲方相关工作人员提供专业技术培训，确保其能熟练操作、维护相关设备，培训内容、频次、时长均量化如下：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3.1培训频次与时长</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3.1.1初次培训：项目验收合格后7天内，开展1次集中培训，时长≥4小时；</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3.1.2后续培训：每半年开展1次针对性培训，时长≥2小时/次，每年不少于2次；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3.1.3应急培训：接到甲方需求后，3天内开展应急培训（如设备故障应急处置），时长≥1小时。</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.2培训内容</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智能设备培训：中控系统、魔法墙、大屏播放系统的操作、日常维护、常见故障排查（培训后，参训人员需能独立操作）；</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密集架培训：手动/智能密集架的操作、保养、应急处置（如停电手动操作、故障解锁），确保参训人员100%掌握操作方法；</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家具、展柜培训：日常保养方法、简单故障维修（如抽屉卡顿、锁具更换）；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强电及安全培训：强电安全注意事项、应急断电处置，避免安全隐患。</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配件保障与供应</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.1配件储备</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常用配件：在本地储备常用配件（开关、灯珠、五金件、密集架小零件、音响配件等），储备量≥项目总用量的5%，确保现场维修可立即更换；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特殊配件：明确特殊配件（智能密集架电机、中控模块、</w:t>
      </w:r>
      <w:r>
        <w:rPr>
          <w:rFonts w:hint="eastAsia" w:ascii="宋体" w:hAnsi="宋体" w:cs="宋体"/>
          <w:sz w:val="22"/>
          <w:szCs w:val="22"/>
          <w:highlight w:val="none"/>
          <w:lang w:val="en-US" w:eastAsia="zh-CN"/>
        </w:rPr>
        <w:t xml:space="preserve">车棚</w:t>
      </w:r>
      <w:r>
        <w:rPr>
          <w:rFonts w:ascii="宋体" w:hAnsi="宋体" w:cs="宋体"/>
          <w:sz w:val="22"/>
          <w:szCs w:val="22"/>
          <w:highlight w:val="none"/>
          <w:lang w:eastAsia="zh-CN"/>
        </w:rPr>
        <w:t xml:space="preserve">配件等）供应时限≤72小时，保障及时更换。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.2配件供应标准</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.1售后服务期</w:t>
      </w:r>
      <w:r>
        <w:rPr>
          <w:rFonts w:ascii="宋体" w:hAnsi="宋体" w:cs="宋体"/>
          <w:sz w:val="22"/>
          <w:szCs w:val="22"/>
          <w:highlight w:val="none"/>
          <w:lang w:eastAsia="zh-CN"/>
        </w:rPr>
        <w:t xml:space="preserve">内：配件免费供应，更换不收取任何费用，配件质量与原设备一致，</w:t>
      </w:r>
      <w:r>
        <w:rPr>
          <w:rFonts w:hint="eastAsia" w:ascii="宋体" w:hAnsi="宋体" w:cs="宋体"/>
          <w:sz w:val="22"/>
          <w:szCs w:val="22"/>
          <w:highlight w:val="none"/>
          <w:lang w:eastAsia="zh-CN"/>
        </w:rPr>
        <w:t xml:space="preserve">售后服务期</w:t>
      </w:r>
      <w:r>
        <w:rPr>
          <w:rFonts w:ascii="宋体" w:hAnsi="宋体" w:cs="宋体"/>
          <w:sz w:val="22"/>
          <w:szCs w:val="22"/>
          <w:highlight w:val="none"/>
          <w:lang w:eastAsia="zh-CN"/>
        </w:rPr>
        <w:t xml:space="preserve">与原设备同步；</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.2售后服务期</w:t>
      </w:r>
      <w:r>
        <w:rPr>
          <w:rFonts w:ascii="宋体" w:hAnsi="宋体" w:cs="宋体"/>
          <w:sz w:val="22"/>
          <w:szCs w:val="22"/>
          <w:highlight w:val="none"/>
          <w:lang w:eastAsia="zh-CN"/>
        </w:rPr>
        <w:t xml:space="preserve">后：配件按成本价供应，供应响应≤24小时，人工更换费用按量化标准收取；</w:t>
      </w:r>
      <w:r/>
    </w:p>
    <w:p>
      <w:pPr>
        <w:ind w:left="191" w:firstLine="182"/>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配件质保：更换的配件，</w:t>
      </w:r>
      <w:r>
        <w:rPr>
          <w:rFonts w:hint="eastAsia" w:ascii="宋体" w:hAnsi="宋体" w:cs="宋体"/>
          <w:sz w:val="22"/>
          <w:szCs w:val="22"/>
          <w:highlight w:val="none"/>
          <w:lang w:eastAsia="zh-CN"/>
        </w:rPr>
        <w:t xml:space="preserve">售后服务期</w:t>
      </w:r>
      <w:r>
        <w:rPr>
          <w:rFonts w:hint="eastAsia" w:ascii="宋体" w:hAnsi="宋体" w:cs="宋体"/>
          <w:sz w:val="22"/>
          <w:szCs w:val="22"/>
          <w:highlight w:val="none"/>
          <w:lang w:val="en-US" w:eastAsia="zh-CN"/>
        </w:rPr>
        <w:t xml:space="preserve">3</w:t>
      </w:r>
      <w:r>
        <w:rPr>
          <w:rFonts w:ascii="宋体" w:hAnsi="宋体" w:cs="宋体"/>
          <w:sz w:val="22"/>
          <w:szCs w:val="22"/>
          <w:highlight w:val="none"/>
          <w:lang w:eastAsia="zh-CN"/>
        </w:rPr>
        <w:t xml:space="preserve">年</w:t>
      </w:r>
      <w:r>
        <w:rPr>
          <w:rFonts w:hint="eastAsia" w:ascii="宋体" w:hAnsi="宋体" w:cs="宋体"/>
          <w:sz w:val="22"/>
          <w:szCs w:val="22"/>
          <w:highlight w:val="none"/>
          <w:lang w:eastAsia="zh-CN"/>
        </w:rPr>
        <w:t xml:space="preserve">。</w:t>
      </w:r>
      <w:r/>
    </w:p>
    <w:p>
      <w:pPr>
        <w:ind w:left="191" w:firstLine="182"/>
        <w:spacing w:line="499" w:lineRule="atLeast"/>
        <w:shd w:val="clear" w:color="auto"/>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（三）</w:t>
      </w:r>
      <w:r>
        <w:rPr>
          <w:rFonts w:ascii="宋体" w:hAnsi="宋体" w:cs="宋体"/>
          <w:sz w:val="22"/>
          <w:szCs w:val="22"/>
          <w:highlight w:val="none"/>
          <w:lang w:eastAsia="zh-CN"/>
        </w:rPr>
        <w:t xml:space="preserve">特藏库</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w:t>
      </w:r>
      <w:r>
        <w:rPr>
          <w:rFonts w:hint="eastAsia" w:ascii="宋体" w:hAnsi="宋体" w:cs="宋体"/>
          <w:sz w:val="22"/>
          <w:szCs w:val="22"/>
          <w:highlight w:val="none"/>
          <w:lang w:eastAsia="zh-CN"/>
        </w:rPr>
        <w:t xml:space="preserve">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布局设计</w:t>
      </w:r>
      <w:r>
        <w:rPr>
          <w:rFonts w:ascii="宋体" w:hAnsi="宋体" w:cs="宋体"/>
          <w:sz w:val="22"/>
          <w:szCs w:val="22"/>
          <w:highlight w:val="none"/>
          <w:lang w:eastAsia="zh-CN"/>
        </w:rPr>
        <w:t xml:space="preserve">深化图纸和设计效果图（包含且不限于：参观路线、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0"/>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深化设计图纸要求：兼顾功能落地，出具完整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设计CAD图纸，完成顶部装修、强弱电线路铺设、</w:t>
      </w:r>
      <w:r>
        <w:rPr>
          <w:rFonts w:hint="eastAsia" w:ascii="宋体" w:hAnsi="宋体" w:cs="宋体"/>
          <w:sz w:val="22"/>
          <w:szCs w:val="22"/>
          <w:highlight w:val="none"/>
          <w:lang w:eastAsia="zh-CN"/>
        </w:rPr>
        <w:t xml:space="preserve">设备点位等</w:t>
      </w:r>
      <w:r>
        <w:rPr>
          <w:rFonts w:ascii="宋体" w:hAnsi="宋体" w:cs="宋体"/>
          <w:sz w:val="22"/>
          <w:szCs w:val="22"/>
          <w:highlight w:val="none"/>
          <w:lang w:eastAsia="zh-CN"/>
        </w:rPr>
        <w:t xml:space="preserve">全项图纸设计，图纸应标明材质、数据标高等。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w:t>
      </w:r>
      <w:r>
        <w:rPr>
          <w:rFonts w:hint="eastAsia" w:ascii="宋体" w:hAnsi="宋体" w:cs="宋体"/>
          <w:sz w:val="22"/>
          <w:szCs w:val="22"/>
          <w:highlight w:val="none"/>
          <w:lang w:eastAsia="zh-CN"/>
        </w:rPr>
        <w:t xml:space="preserve">形式</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图纸成套性：需包含封面、图纸目录、设计说明、分区平面图、各专业深化图、</w:t>
      </w:r>
      <w:r>
        <w:rPr>
          <w:rFonts w:hint="eastAsia" w:ascii="宋体" w:hAnsi="宋体" w:cs="宋体"/>
          <w:sz w:val="22"/>
          <w:szCs w:val="22"/>
          <w:highlight w:val="none"/>
          <w:lang w:eastAsia="zh-CN"/>
        </w:rPr>
        <w:t xml:space="preserve">关键</w:t>
      </w:r>
      <w:r>
        <w:rPr>
          <w:rFonts w:ascii="宋体" w:hAnsi="宋体" w:cs="宋体"/>
          <w:sz w:val="22"/>
          <w:szCs w:val="22"/>
          <w:highlight w:val="none"/>
          <w:lang w:eastAsia="zh-CN"/>
        </w:rPr>
        <w:t xml:space="preserve">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标注要求：图纸需清晰标注尺寸、标高、材质；</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合规性：图纸需符合国家建筑装饰工程设计规范，与采购清单中所有设备、材料的技术参数完全匹配。</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ascii="宋体" w:hAnsi="宋体" w:cs="宋体"/>
          <w:sz w:val="22"/>
          <w:szCs w:val="22"/>
          <w:highlight w:val="none"/>
          <w:lang w:eastAsia="zh-CN"/>
        </w:rPr>
        <w:t xml:space="preserve">顶部装修深化图纸</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1.2.1</w:t>
      </w:r>
      <w:r>
        <w:rPr>
          <w:rFonts w:ascii="宋体" w:hAnsi="宋体" w:cs="宋体"/>
          <w:sz w:val="22"/>
          <w:szCs w:val="22"/>
          <w:highlight w:val="none"/>
          <w:lang w:eastAsia="zh-CN"/>
        </w:rPr>
        <w:t xml:space="preserve">涵盖内容：石膏板天花、铝方通吊顶</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、顶部照明</w:t>
      </w:r>
      <w:r>
        <w:rPr>
          <w:rFonts w:hint="eastAsia" w:ascii="宋体" w:hAnsi="宋体" w:cs="宋体"/>
          <w:sz w:val="22"/>
          <w:szCs w:val="22"/>
          <w:highlight w:val="none"/>
          <w:lang w:eastAsia="zh-CN"/>
        </w:rPr>
        <w:t xml:space="preserve">、隔墙、玄关、展示柜等</w:t>
      </w:r>
      <w:r>
        <w:rPr>
          <w:rFonts w:ascii="宋体" w:hAnsi="宋体" w:cs="宋体"/>
          <w:sz w:val="22"/>
          <w:szCs w:val="22"/>
          <w:highlight w:val="none"/>
          <w:lang w:eastAsia="zh-CN"/>
        </w:rPr>
        <w:t xml:space="preserve">的布局设计；</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1.2.2</w:t>
      </w:r>
      <w:r>
        <w:rPr>
          <w:rFonts w:ascii="宋体" w:hAnsi="宋体" w:cs="宋体"/>
          <w:sz w:val="22"/>
          <w:szCs w:val="22"/>
          <w:highlight w:val="none"/>
          <w:lang w:eastAsia="zh-CN"/>
        </w:rPr>
        <w:t xml:space="preserve">材质标注：按采购清单要求</w:t>
      </w:r>
      <w:r>
        <w:rPr>
          <w:rFonts w:hint="eastAsia" w:ascii="宋体" w:hAnsi="宋体" w:cs="宋体"/>
          <w:sz w:val="22"/>
          <w:szCs w:val="22"/>
          <w:highlight w:val="none"/>
          <w:lang w:eastAsia="zh-CN"/>
        </w:rPr>
        <w:t xml:space="preserve">标注各部分材料材质及主要规格</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1.2.3</w:t>
      </w:r>
      <w:r>
        <w:rPr>
          <w:rFonts w:ascii="宋体" w:hAnsi="宋体" w:cs="宋体"/>
          <w:sz w:val="22"/>
          <w:szCs w:val="22"/>
          <w:highlight w:val="none"/>
          <w:lang w:eastAsia="zh-CN"/>
        </w:rPr>
        <w:t xml:space="preserve">尺寸标注：</w:t>
      </w:r>
      <w:r>
        <w:rPr>
          <w:rFonts w:hint="eastAsia" w:ascii="宋体" w:hAnsi="宋体" w:cs="宋体"/>
          <w:sz w:val="22"/>
          <w:szCs w:val="22"/>
          <w:highlight w:val="none"/>
          <w:lang w:eastAsia="zh-CN"/>
        </w:rPr>
        <w:t xml:space="preserve">按照相关规范</w:t>
      </w:r>
      <w:r>
        <w:rPr>
          <w:rFonts w:ascii="宋体" w:hAnsi="宋体" w:cs="宋体"/>
          <w:sz w:val="22"/>
          <w:szCs w:val="22"/>
          <w:highlight w:val="none"/>
          <w:lang w:eastAsia="zh-CN"/>
        </w:rPr>
        <w:t xml:space="preserve">统一</w:t>
      </w:r>
      <w:r>
        <w:rPr>
          <w:rFonts w:hint="eastAsia" w:ascii="宋体" w:hAnsi="宋体" w:cs="宋体"/>
          <w:sz w:val="22"/>
          <w:szCs w:val="22"/>
          <w:highlight w:val="none"/>
          <w:lang w:eastAsia="zh-CN"/>
        </w:rPr>
        <w:t xml:space="preserve">尺寸标注</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1.2.4</w:t>
      </w:r>
      <w:r>
        <w:rPr>
          <w:rFonts w:ascii="宋体" w:hAnsi="宋体" w:cs="宋体"/>
          <w:sz w:val="22"/>
          <w:szCs w:val="22"/>
          <w:highlight w:val="none"/>
          <w:lang w:eastAsia="zh-CN"/>
        </w:rPr>
        <w:t xml:space="preserve">节点详图：</w:t>
      </w:r>
      <w:r>
        <w:rPr>
          <w:rFonts w:hint="eastAsia" w:ascii="宋体" w:hAnsi="宋体" w:cs="宋体"/>
          <w:sz w:val="22"/>
          <w:szCs w:val="22"/>
          <w:highlight w:val="none"/>
          <w:lang w:eastAsia="zh-CN"/>
        </w:rPr>
        <w:t xml:space="preserve">依照</w:t>
      </w:r>
      <w:r>
        <w:rPr>
          <w:rFonts w:ascii="宋体" w:hAnsi="宋体" w:cs="宋体"/>
          <w:sz w:val="22"/>
          <w:szCs w:val="22"/>
          <w:highlight w:val="none"/>
          <w:lang w:eastAsia="zh-CN"/>
        </w:rPr>
        <w:t xml:space="preserve">国家建筑装饰工程设计规范绘制</w:t>
      </w:r>
      <w:r>
        <w:rPr>
          <w:rFonts w:hint="eastAsia" w:ascii="宋体" w:hAnsi="宋体" w:cs="宋体"/>
          <w:sz w:val="22"/>
          <w:szCs w:val="22"/>
          <w:highlight w:val="none"/>
          <w:lang w:eastAsia="zh-CN"/>
        </w:rPr>
        <w:t xml:space="preserve">墙面、顶面等节点详图。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强弱电线路铺设深化图纸</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.3.1</w:t>
      </w:r>
      <w:r>
        <w:rPr>
          <w:rFonts w:ascii="宋体" w:hAnsi="宋体" w:cs="宋体"/>
          <w:sz w:val="22"/>
          <w:szCs w:val="22"/>
          <w:highlight w:val="none"/>
          <w:lang w:eastAsia="zh-CN"/>
        </w:rPr>
        <w:t xml:space="preserve">涵盖内容：线路的走向、布管、布线</w:t>
      </w:r>
      <w:r>
        <w:rPr>
          <w:rFonts w:hint="eastAsia" w:ascii="宋体" w:hAnsi="宋体" w:cs="宋体"/>
          <w:sz w:val="22"/>
          <w:szCs w:val="22"/>
          <w:highlight w:val="none"/>
          <w:lang w:eastAsia="zh-CN"/>
        </w:rPr>
        <w:t xml:space="preserve">、照明</w:t>
      </w:r>
      <w:r>
        <w:rPr>
          <w:rFonts w:ascii="宋体" w:hAnsi="宋体" w:cs="宋体"/>
          <w:sz w:val="22"/>
          <w:szCs w:val="22"/>
          <w:highlight w:val="none"/>
          <w:lang w:eastAsia="zh-CN"/>
        </w:rPr>
        <w:t xml:space="preserve">设计，交换机、</w:t>
      </w:r>
      <w:r>
        <w:rPr>
          <w:rFonts w:hint="eastAsia" w:ascii="宋体" w:hAnsi="宋体" w:cs="宋体"/>
          <w:color w:val="333333"/>
          <w:sz w:val="22"/>
          <w:szCs w:val="22"/>
          <w:highlight w:val="none"/>
          <w:lang w:eastAsia="zh-CN" w:bidi="ar"/>
        </w:rPr>
        <w:t xml:space="preserve">无线</w:t>
      </w:r>
      <w:r>
        <w:rPr>
          <w:rFonts w:ascii="宋体" w:hAnsi="宋体" w:cs="宋体"/>
          <w:sz w:val="22"/>
          <w:szCs w:val="22"/>
          <w:highlight w:val="none"/>
          <w:lang w:eastAsia="zh-CN"/>
        </w:rPr>
        <w:t xml:space="preserve">AP等设备的安装点位；</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.3.2</w:t>
      </w:r>
      <w:r>
        <w:rPr>
          <w:rFonts w:ascii="宋体" w:hAnsi="宋体" w:cs="宋体"/>
          <w:sz w:val="22"/>
          <w:szCs w:val="22"/>
          <w:highlight w:val="none"/>
          <w:lang w:eastAsia="zh-CN"/>
        </w:rPr>
        <w:t xml:space="preserve">材质标注：明确穿线管材质、电源线规格、网线规格材质</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.3.3</w:t>
      </w:r>
      <w:r>
        <w:rPr>
          <w:rFonts w:ascii="宋体" w:hAnsi="宋体" w:cs="宋体"/>
          <w:sz w:val="22"/>
          <w:szCs w:val="22"/>
          <w:highlight w:val="none"/>
          <w:lang w:eastAsia="zh-CN"/>
        </w:rPr>
        <w:t xml:space="preserve">尺寸标注：按照相关规范统一尺寸标注</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1.4设备点位等</w:t>
      </w:r>
      <w:r>
        <w:rPr>
          <w:rFonts w:ascii="宋体" w:hAnsi="宋体" w:cs="宋体"/>
          <w:sz w:val="22"/>
          <w:szCs w:val="22"/>
          <w:highlight w:val="none"/>
          <w:lang w:eastAsia="zh-CN"/>
        </w:rPr>
        <w:t xml:space="preserve">全项</w:t>
      </w:r>
      <w:r>
        <w:rPr>
          <w:rFonts w:hint="eastAsia" w:ascii="宋体" w:hAnsi="宋体" w:cs="宋体"/>
          <w:sz w:val="22"/>
          <w:szCs w:val="22"/>
          <w:highlight w:val="none"/>
          <w:lang w:eastAsia="zh-CN"/>
        </w:rPr>
        <w:t xml:space="preserve">深化</w:t>
      </w:r>
      <w:r>
        <w:rPr>
          <w:rFonts w:ascii="宋体" w:hAnsi="宋体" w:cs="宋体"/>
          <w:sz w:val="22"/>
          <w:szCs w:val="22"/>
          <w:highlight w:val="none"/>
          <w:lang w:eastAsia="zh-CN"/>
        </w:rPr>
        <w:t xml:space="preserve">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1.4.1涵盖内容：魔法墙、触摸查询系统、雷达、音响、功放、视频处理器等所有设备的安装点位（结合附件</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：设备清单）。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参观路线效果图：清晰标注流线，展示行走路径与空间衔接关系。</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2.1.1流线标注：清晰标注参观路线，标注完整路径，路径转折点标注清晰，确保路线流畅，无拥堵节点；</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2.1.2细节要求：路线旁标注各板块名称，效果图需呈现路线与展柜、展板、设备的相对位置，无遮挡、无冲突，呈现各板块位置与功能分布。</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2.1.3布局要求：明确各板块的位置分布，确保功能分区合理，各区域之间过渡自然，边界无交叉。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2.2布局</w:t>
      </w:r>
      <w:r>
        <w:rPr>
          <w:rFonts w:ascii="宋体" w:hAnsi="宋体" w:cs="宋体"/>
          <w:sz w:val="22"/>
          <w:szCs w:val="22"/>
          <w:highlight w:val="none"/>
          <w:lang w:eastAsia="zh-CN"/>
        </w:rPr>
        <w:t xml:space="preserve">形式效果图：呈现展板</w:t>
      </w:r>
      <w:r>
        <w:rPr>
          <w:rFonts w:hint="eastAsia" w:ascii="宋体" w:hAnsi="宋体" w:cs="宋体"/>
          <w:sz w:val="22"/>
          <w:szCs w:val="22"/>
          <w:highlight w:val="none"/>
          <w:lang w:eastAsia="zh-CN"/>
        </w:rPr>
        <w:t xml:space="preserve">、立体字</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设备点位</w:t>
      </w:r>
      <w:r>
        <w:rPr>
          <w:rFonts w:ascii="宋体" w:hAnsi="宋体" w:cs="宋体"/>
          <w:sz w:val="22"/>
          <w:szCs w:val="22"/>
          <w:highlight w:val="none"/>
          <w:lang w:eastAsia="zh-CN"/>
        </w:rPr>
        <w:t xml:space="preserve">等</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方式与造型。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2.2.1展示要求：每个布局形式单独出具效果图，同时出具整体组合效果图；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2.2.2展柜呈现：清晰呈现独立展示柜、墙体展示柜的造型、颜色、质感；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2.2.3细节要求：所有布局形式的效果图无变形、无偏差，色彩还原真实。</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3.特藏库布局应包含5-8个</w:t>
      </w:r>
      <w:r>
        <w:rPr>
          <w:rFonts w:ascii="宋体" w:hAnsi="宋体" w:cs="宋体"/>
          <w:sz w:val="22"/>
          <w:szCs w:val="22"/>
          <w:highlight w:val="none"/>
          <w:lang w:eastAsia="zh-CN"/>
        </w:rPr>
        <w:t xml:space="preserve">版块的主题设计</w:t>
      </w:r>
      <w:r>
        <w:rPr>
          <w:rFonts w:hint="eastAsia" w:ascii="宋体" w:hAnsi="宋体" w:cs="宋体"/>
          <w:sz w:val="22"/>
          <w:szCs w:val="22"/>
          <w:highlight w:val="none"/>
          <w:lang w:eastAsia="zh-CN"/>
        </w:rPr>
        <w:t xml:space="preserve">，每个版块</w:t>
      </w:r>
      <w:r>
        <w:rPr>
          <w:rFonts w:hint="eastAsia" w:ascii="宋体" w:hAnsi="宋体" w:cs="宋体"/>
          <w:sz w:val="22"/>
          <w:szCs w:val="22"/>
          <w:highlight w:val="none"/>
          <w:lang w:val="en-US" w:eastAsia="zh-CN"/>
        </w:rPr>
        <w:t xml:space="preserve">应</w:t>
      </w:r>
      <w:r>
        <w:rPr>
          <w:rFonts w:hint="eastAsia" w:ascii="宋体" w:hAnsi="宋体" w:cs="宋体"/>
          <w:sz w:val="22"/>
          <w:szCs w:val="22"/>
          <w:highlight w:val="none"/>
          <w:lang w:eastAsia="zh-CN"/>
        </w:rPr>
        <w:t xml:space="preserve">明确主题名称、布局逻辑，确保内容连贯、层次清晰。</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（四）临展厅</w:t>
      </w:r>
      <w:r>
        <w:rPr>
          <w:rFonts w:hint="eastAsia" w:ascii="宋体" w:hAnsi="宋体" w:cs="宋体"/>
          <w:sz w:val="22"/>
          <w:szCs w:val="22"/>
          <w:highlight w:val="none"/>
          <w:lang w:val="en-US" w:eastAsia="zh-CN"/>
        </w:rPr>
        <w:t xml:space="preserve">布局</w:t>
      </w:r>
      <w:r>
        <w:rPr>
          <w:rFonts w:hint="eastAsia" w:ascii="宋体" w:hAnsi="宋体" w:cs="宋体"/>
          <w:sz w:val="22"/>
          <w:szCs w:val="22"/>
          <w:highlight w:val="none"/>
          <w:lang w:eastAsia="zh-CN"/>
        </w:rPr>
        <w:t xml:space="preserve">设计方案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深化设计图纸和设计效果图（</w:t>
      </w:r>
      <w:r>
        <w:rPr>
          <w:rFonts w:hint="eastAsia" w:ascii="宋体" w:hAnsi="宋体" w:cs="宋体"/>
          <w:sz w:val="22"/>
          <w:szCs w:val="22"/>
          <w:highlight w:val="none"/>
          <w:lang w:eastAsia="zh-CN"/>
        </w:rPr>
        <w:t xml:space="preserve">包含且不限于：</w:t>
      </w:r>
      <w:r>
        <w:rPr>
          <w:rFonts w:ascii="宋体" w:hAnsi="宋体" w:cs="宋体"/>
          <w:sz w:val="22"/>
          <w:szCs w:val="22"/>
          <w:highlight w:val="none"/>
          <w:lang w:eastAsia="zh-CN"/>
        </w:rPr>
        <w:t xml:space="preserve">场景图、平面布置图、俯视图）</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深化设计图纸要求：聚焦</w:t>
      </w:r>
      <w:r>
        <w:rPr>
          <w:rFonts w:hint="eastAsia" w:ascii="宋体" w:hAnsi="宋体" w:cs="宋体"/>
          <w:sz w:val="22"/>
          <w:szCs w:val="22"/>
          <w:highlight w:val="none"/>
          <w:lang w:eastAsia="zh-CN"/>
        </w:rPr>
        <w:t xml:space="preserve">临展厅布局</w:t>
      </w:r>
      <w:r>
        <w:rPr>
          <w:rFonts w:ascii="宋体" w:hAnsi="宋体" w:cs="宋体"/>
          <w:sz w:val="22"/>
          <w:szCs w:val="22"/>
          <w:highlight w:val="none"/>
          <w:lang w:eastAsia="zh-CN"/>
        </w:rPr>
        <w:t xml:space="preserve">核心功能，出具完整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主题展墙、强</w:t>
      </w:r>
      <w:r>
        <w:rPr>
          <w:rFonts w:hint="eastAsia" w:ascii="宋体" w:hAnsi="宋体" w:cs="宋体"/>
          <w:sz w:val="22"/>
          <w:szCs w:val="22"/>
          <w:highlight w:val="none"/>
          <w:lang w:eastAsia="zh-CN"/>
        </w:rPr>
        <w:t xml:space="preserve">弱</w:t>
      </w:r>
      <w:r>
        <w:rPr>
          <w:rFonts w:ascii="宋体" w:hAnsi="宋体" w:cs="宋体"/>
          <w:sz w:val="22"/>
          <w:szCs w:val="22"/>
          <w:highlight w:val="none"/>
          <w:lang w:eastAsia="zh-CN"/>
        </w:rPr>
        <w:t xml:space="preserve">电线路铺设、展示柜的图纸设计，图纸应标明材质、数据标高等。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w:t>
      </w:r>
      <w:r>
        <w:rPr>
          <w:rFonts w:ascii="宋体" w:hAnsi="宋体" w:cs="宋体"/>
          <w:sz w:val="22"/>
          <w:szCs w:val="22"/>
          <w:highlight w:val="none"/>
          <w:lang w:eastAsia="zh-CN"/>
        </w:rPr>
        <w:t xml:space="preserve">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图纸版本：</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1.1.2</w:t>
      </w:r>
      <w:r>
        <w:rPr>
          <w:rFonts w:ascii="宋体" w:hAnsi="宋体" w:cs="宋体"/>
          <w:sz w:val="22"/>
          <w:szCs w:val="22"/>
          <w:highlight w:val="none"/>
          <w:lang w:eastAsia="zh-CN"/>
        </w:rPr>
        <w:t xml:space="preserve">图纸成套性：需包含封面、图纸目录、设计说明、分区平面图、各专业深化图、关键节点详图；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1.1.3</w:t>
      </w:r>
      <w:r>
        <w:rPr>
          <w:rFonts w:ascii="宋体" w:hAnsi="宋体" w:cs="宋体"/>
          <w:sz w:val="22"/>
          <w:szCs w:val="22"/>
          <w:highlight w:val="none"/>
          <w:lang w:eastAsia="zh-CN"/>
        </w:rPr>
        <w:t xml:space="preserve">标注要求：图纸需清晰标注尺寸、标高、材质、规格、施工工艺；</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1.1.4</w:t>
      </w:r>
      <w:r>
        <w:rPr>
          <w:rFonts w:ascii="宋体" w:hAnsi="宋体" w:cs="宋体"/>
          <w:sz w:val="22"/>
          <w:szCs w:val="22"/>
          <w:highlight w:val="none"/>
          <w:lang w:eastAsia="zh-CN"/>
        </w:rPr>
        <w:t xml:space="preserve">合规性：图纸需符合国家建筑装饰工程设计规范，与采购清单中所有材料的技术参数完全匹配。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1.2布局深化图纸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1.2.1涵盖内容：顶部照明、</w:t>
      </w:r>
      <w:r>
        <w:rPr>
          <w:rFonts w:ascii="宋体" w:hAnsi="宋体" w:cs="宋体"/>
          <w:sz w:val="22"/>
          <w:szCs w:val="22"/>
          <w:highlight w:val="none"/>
          <w:lang w:eastAsia="zh-CN"/>
        </w:rPr>
        <w:t xml:space="preserve">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w:t>
      </w:r>
      <w:r>
        <w:rPr>
          <w:rFonts w:hint="eastAsia" w:ascii="宋体" w:hAnsi="宋体" w:cs="宋体"/>
          <w:sz w:val="22"/>
          <w:szCs w:val="22"/>
          <w:highlight w:val="none"/>
          <w:lang w:eastAsia="zh-CN"/>
        </w:rPr>
        <w:t xml:space="preserve">、展示柜的布局设计；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1.2.2材质标注：按采购清单要求标注各部分材料材质及主要规格；</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1.2.3尺寸标注：按照相关规范统一尺寸标注；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1.2.4节点详图：依照国家建筑装饰工程设计规范绘制墙面、墙顶等节点详图。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1.3强弱电线路铺设深化图纸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1.3.1涵盖内容：线路的走向、布管、布线设计；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1.3.2材质标注：明确穿线管材质、电源线规格材质；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1.3.3尺寸标注：按照相关规范统一尺寸标注。</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设计效果图（场景图、平面布置图、俯视图）呈现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建成后的真实空间效果，直观反映</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展示形式、灯光效果等。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场景图</w:t>
      </w:r>
      <w:r>
        <w:rPr>
          <w:rFonts w:hint="eastAsia" w:ascii="宋体" w:hAnsi="宋体" w:cs="宋体"/>
          <w:sz w:val="22"/>
          <w:szCs w:val="22"/>
          <w:highlight w:val="none"/>
          <w:lang w:eastAsia="zh-CN"/>
        </w:rPr>
        <w:t xml:space="preserve">效果：直观反映临展厅建成后的真实空间效果，还原布局展示形式（独立主题墙、主题展墙、展示柜）、灯光效果（整体照明、局部射灯），色彩还原真实；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2.1.1展示要求：至少出具3张不同角度的场景图，每个布局形式单独出具效果图，同时出具整体组合效果图；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2.1.2展示柜呈现：清晰呈现独立展示柜的造型、颜色、质感；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2,1,3细节要求：所有布局形式的效果图无变形、无偏差，色彩还原真实。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2.1.4细节呈现：清晰呈现展柜玻璃质感、展墙饰面效果、立体字立体感，灯光效果均匀无眩光，还原展品摆放后的视觉效果，空间比例无变形、无偏差；</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2.1.5主题贴合：场景图整体风格与临展主题高度契合，色彩搭配协调，直观体现临展的特色与氛围。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w:t>
      </w:r>
      <w:r>
        <w:rPr>
          <w:rFonts w:ascii="宋体" w:hAnsi="宋体" w:cs="宋体"/>
          <w:sz w:val="22"/>
          <w:szCs w:val="22"/>
          <w:highlight w:val="none"/>
          <w:lang w:eastAsia="zh-CN"/>
        </w:rPr>
        <w:t xml:space="preserve">平面布置图要求：</w:t>
      </w:r>
      <w:r>
        <w:rPr>
          <w:rFonts w:hint="eastAsia" w:ascii="宋体" w:hAnsi="宋体" w:cs="宋体"/>
          <w:sz w:val="22"/>
          <w:szCs w:val="22"/>
          <w:highlight w:val="none"/>
          <w:lang w:eastAsia="zh-CN"/>
        </w:rPr>
        <w:t xml:space="preserve">聚焦展区核心临展功能，清晰呈现具有特色主题风格的临展布局，包含独立主题墙、主题展墙</w:t>
      </w:r>
      <w:r>
        <w:rPr>
          <w:rFonts w:ascii="宋体" w:hAnsi="宋体" w:cs="宋体"/>
          <w:sz w:val="22"/>
          <w:szCs w:val="22"/>
          <w:highlight w:val="none"/>
          <w:lang w:eastAsia="zh-CN"/>
        </w:rPr>
        <w:t xml:space="preserve">、独立展示柜</w:t>
      </w:r>
      <w:r>
        <w:rPr>
          <w:rFonts w:hint="eastAsia" w:ascii="宋体" w:hAnsi="宋体" w:cs="宋体"/>
          <w:sz w:val="22"/>
          <w:szCs w:val="22"/>
          <w:highlight w:val="none"/>
          <w:lang w:eastAsia="zh-CN"/>
        </w:rPr>
        <w:t xml:space="preserve">、定制化主题标题、立体字、顶部照明空间的整体设计；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2.2.1标注要求：清晰标注所有布局设施的尺寸、安装点位、区域名称、参观路线；</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2.2.2细节要求：明确临展主题标题、立体字的安装位置，布局合理、无冲突。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w:t>
      </w:r>
      <w:r>
        <w:rPr>
          <w:rFonts w:ascii="宋体" w:hAnsi="宋体" w:cs="宋体"/>
          <w:sz w:val="22"/>
          <w:szCs w:val="22"/>
          <w:highlight w:val="none"/>
          <w:lang w:eastAsia="zh-CN"/>
        </w:rPr>
        <w:t xml:space="preserve">俯视图要求：整体展现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空间结构及整体空间形态。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2.3.1标注要求：按照相关规范统一尺寸标注；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2.3.2细节要求：清晰呈现空间位置，直观反映临展厅的整体空间布局与结构特点。</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（五）查档大厅布局设计方案需求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出具包括但不限于平面布局图、人流动线图、多角度设计效果图，具体要求如下：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1.平面布局图要求：结合档案馆政务服务属性进行整体布局规划，合理布置接待台、座椅等，办公区域按岗位功能标准化布置办公桌椅，出具完整的查档大厅平面布局图。</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1.1功能分区表达：清晰划分咨询接待区、等候休息区等功能区域，布局逻辑合理，贴合档案馆对外服务流程。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1.2家具设备排布：精准标注查档接待台、办公桌椅等所有家具摆放位置，布局整齐统一、对称规整。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1.3图纸规范要求：图纸比例统一、线条清晰，需符合国家建筑装饰工程设计规范，与采购清单中所有材料的技术参数完全匹配。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2.人流动线图要求：出具人流动线专项效果图，实现人流有序分流、互不交叉、疏散高效。</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2.1通行逻辑设计：访客实现“进门—咨询—办理—离场”单向顺畅通行，杜绝人流交叉、拥堵、折返、对冲问题。</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2.2图文说明完整：配套动线设计文字说明，阐述整体人流规划理念、分区优势，逻辑完整、设计合理。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3.多角度设计效果图要求：需提供多视角效果图，全方位展示大厅落地效果。</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3.1视角覆盖齐全：必须包含大厅整体鸟瞰全景视角、接待服务台特写视角，全方位覆盖空间细节。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3.2空间比例还原：效果图严格按照现场实测尺寸建模，空间比例、家具尺寸1:1还原，无拉伸、无缩放失真、无夸张美化，与实际落地效果一致。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3.3材质色彩还原：真实还原家具板材纹理、五金质感、整体色调搭配、墙面地面材质效果，整体风格素雅庄重、整洁统一，符合档案馆政务服务氛围。</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六</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档案主题文化建设方案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出具包括但不限于完整的CAD设计图纸、文化展示设计效果图。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设计图纸要求：结合各区域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划分特点，出具对应的档案主题文化展示墙</w:t>
      </w:r>
      <w:r>
        <w:rPr>
          <w:rFonts w:hint="eastAsia" w:ascii="宋体" w:hAnsi="宋体" w:cs="宋体"/>
          <w:sz w:val="22"/>
          <w:szCs w:val="22"/>
          <w:highlight w:val="none"/>
          <w:lang w:val="en-US" w:eastAsia="zh-CN"/>
        </w:rPr>
        <w:t xml:space="preserve">设计</w:t>
      </w:r>
      <w:r>
        <w:rPr>
          <w:rFonts w:ascii="宋体" w:hAnsi="宋体" w:cs="宋体"/>
          <w:sz w:val="22"/>
          <w:szCs w:val="22"/>
          <w:highlight w:val="none"/>
          <w:lang w:eastAsia="zh-CN"/>
        </w:rPr>
        <w:t xml:space="preserve">图纸，包括平面布置图、立面图等。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1.1.1图纸格式：方案应包含详细设计图纸，中标后提供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1.1.2标注要求：图纸需清晰标注尺寸、标高、材质；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1.1.3合规性：</w:t>
      </w:r>
      <w:r>
        <w:rPr>
          <w:rFonts w:ascii="宋体" w:hAnsi="宋体" w:cs="宋体"/>
          <w:sz w:val="22"/>
          <w:szCs w:val="22"/>
          <w:highlight w:val="none"/>
          <w:lang w:eastAsia="zh-CN"/>
        </w:rPr>
        <w:t xml:space="preserve">图纸需符合国家建筑装饰工程设计规范，与采购清单中所有材料的技术参数完全匹配</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1.2各分项图纸要求：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1.2.1平面布置图：清晰呈现各区域档案主题文化展示平面布置；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1.2.2立面图：呈现展示墙的正面、侧面造型，标注高度、宽度；</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2.文化展示设计效果图要求：呈现各区域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文化建设真实空间效果，直观反映</w:t>
      </w:r>
      <w:r>
        <w:rPr>
          <w:rFonts w:hint="eastAsia" w:ascii="宋体" w:hAnsi="宋体" w:cs="宋体"/>
          <w:sz w:val="22"/>
          <w:szCs w:val="22"/>
          <w:highlight w:val="none"/>
          <w:lang w:eastAsia="zh-CN"/>
        </w:rPr>
        <w:t xml:space="preserve">档案主题文化</w:t>
      </w:r>
      <w:r>
        <w:rPr>
          <w:rFonts w:ascii="宋体" w:hAnsi="宋体" w:cs="宋体"/>
          <w:sz w:val="22"/>
          <w:szCs w:val="22"/>
          <w:highlight w:val="none"/>
          <w:lang w:eastAsia="zh-CN"/>
        </w:rPr>
        <w:t xml:space="preserve">内容、造型效果等。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2.1数量要求：每个区域至少出具2张效果图，整体出具1张全景效果图，清晰呈现所有档案主题文化展示墙的整体布局与效果；</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2.2效果图要求：直观反映各区域档案主题文化展示墙后的真实空间效果，还原</w:t>
      </w:r>
      <w:r>
        <w:rPr>
          <w:rFonts w:hint="eastAsia" w:ascii="宋体" w:hAnsi="宋体" w:eastAsia="宋体" w:cs="宋体"/>
          <w:sz w:val="22"/>
          <w:szCs w:val="22"/>
          <w:highlight w:val="none"/>
          <w:lang w:eastAsia="zh-CN"/>
        </w:rPr>
        <w:t xml:space="preserve">档案主题文化展示墙造型、材质质感、灯光效果，色彩还原真实；</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2.3主题贴合：效果图整体风格贴合档案主题与泗洪文化，色彩搭配协调，直观体现泗洪县档案馆的文化底蕴与特色。</w:t>
      </w:r>
      <w:r/>
    </w:p>
    <w:p>
      <w:pPr>
        <w:ind w:firstLine="442"/>
        <w:spacing w:line="499" w:lineRule="atLeast"/>
        <w:shd w:val="clear" w:color="auto"/>
        <w:widowControl w:val="off"/>
        <w:rPr>
          <w:rFonts w:hint="eastAsia" w:ascii="宋体" w:hAnsi="宋体" w:cs="宋体"/>
          <w:sz w:val="22"/>
          <w:szCs w:val="22"/>
          <w:highlight w:val="none"/>
          <w:lang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七）</w:t>
      </w:r>
      <w:r>
        <w:rPr>
          <w:rFonts w:hint="eastAsia" w:ascii="宋体" w:hAnsi="宋体" w:cs="宋体"/>
          <w:sz w:val="22"/>
          <w:szCs w:val="22"/>
          <w:highlight w:val="none"/>
          <w:lang w:eastAsia="zh-CN"/>
        </w:rPr>
        <w:t xml:space="preserve">手动密集架实施方案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投标</w:t>
      </w:r>
      <w:r>
        <w:rPr>
          <w:rFonts w:hint="eastAsia" w:ascii="宋体" w:hAnsi="宋体" w:cs="宋体"/>
          <w:sz w:val="22"/>
          <w:szCs w:val="22"/>
          <w:highlight w:val="none"/>
          <w:lang w:val="en-US" w:eastAsia="zh-CN"/>
        </w:rPr>
        <w:t xml:space="preserve">人</w:t>
      </w:r>
      <w:r>
        <w:rPr>
          <w:rFonts w:hint="eastAsia" w:ascii="宋体" w:hAnsi="宋体" w:cs="宋体"/>
          <w:sz w:val="22"/>
          <w:szCs w:val="22"/>
          <w:highlight w:val="none"/>
          <w:lang w:eastAsia="zh-CN"/>
        </w:rPr>
        <w:t xml:space="preserve">根据本项目手动密集架</w:t>
      </w:r>
      <w:r>
        <w:rPr>
          <w:rFonts w:hint="eastAsia" w:ascii="宋体" w:hAnsi="宋体" w:cs="宋体"/>
          <w:sz w:val="22"/>
          <w:szCs w:val="22"/>
          <w:highlight w:val="none"/>
          <w:lang w:val="en-US" w:eastAsia="zh-CN"/>
        </w:rPr>
        <w:t xml:space="preserve">技术参数及项目图纸</w:t>
      </w:r>
      <w:r>
        <w:rPr>
          <w:rFonts w:hint="eastAsia" w:ascii="宋体" w:hAnsi="宋体" w:cs="宋体"/>
          <w:sz w:val="22"/>
          <w:szCs w:val="22"/>
          <w:highlight w:val="none"/>
          <w:lang w:eastAsia="zh-CN"/>
        </w:rPr>
        <w:t xml:space="preserve">制定项目实施方案，包含但不限于：</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1.施工前准备方案：方案内容完整详实，包括架体外观检查、调试工具配备、安全防护措施等；</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勘察设计方案：具备完整的现场勘察及设计流程，针对性核查库房地面平整度、层高尺寸等现场情况。结合现场实测数据核对施工图纸，排查现场施工隐患；勘察数据详实、设计方案严谨，确保方案完全适配现场实际施工条件，符合档案库房建设规范；</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布局设计：结合库房实测尺寸、空间结构完成密集架整体深化布局设计。精准规划架体布局、布局排布均匀规整，完全契合档案存放、日常查阅、库房运维及安全疏散要求，布局方案合理、合规、贴合项目使用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4.安装调试：包含轨道底盘、架体组装、系统调试等全套安装调试流程，严格按照国标及行业标准调试，保证轨道水平度、平行度达标，架体安装横平竖直、拼接缝隙均匀，具备完整自检、整改、记录、归档闭环流程。</w:t>
      </w:r>
      <w:r/>
    </w:p>
    <w:p>
      <w:pPr>
        <w:ind w:firstLine="442"/>
        <w:spacing w:line="499" w:lineRule="atLeast"/>
        <w:shd w:val="clear" w:color="auto"/>
        <w:widowControl w:val="off"/>
      </w:pPr>
      <w:r>
        <w:rPr>
          <w:rFonts w:hint="eastAsia" w:ascii="宋体" w:hAnsi="宋体" w:cs="宋体"/>
          <w:sz w:val="22"/>
          <w:szCs w:val="22"/>
          <w:highlight w:val="none"/>
          <w:lang w:val="en-US" w:eastAsia="zh-CN"/>
        </w:rPr>
        <w:t xml:space="preserve">（八）</w:t>
      </w:r>
      <w:r>
        <w:rPr>
          <w:rFonts w:hint="eastAsia" w:ascii="宋体" w:hAnsi="宋体" w:cs="宋体"/>
          <w:sz w:val="22"/>
          <w:szCs w:val="22"/>
          <w:highlight w:val="none"/>
          <w:lang w:val="en-US" w:eastAsia="zh-CN"/>
        </w:rPr>
      </w:r>
      <w:r>
        <w:rPr>
          <w:rFonts w:hint="eastAsia" w:ascii="宋体" w:hAnsi="宋体" w:cs="宋体"/>
          <w:sz w:val="22"/>
          <w:szCs w:val="22"/>
          <w:highlight w:val="none"/>
          <w:lang w:val="en-US" w:eastAsia="zh-CN"/>
        </w:rPr>
        <w:t xml:space="preserve">功能演示</w:t>
      </w:r>
      <w:r/>
    </w:p>
    <w:p>
      <w:pPr>
        <w:ind w:firstLine="442"/>
        <w:spacing w:line="499" w:lineRule="atLeast"/>
        <w:shd w:val="clear" w:color="auto"/>
        <w:widowControl w:val="off"/>
      </w:pPr>
      <w:r>
        <w:rPr>
          <w:rFonts w:hint="eastAsia" w:ascii="宋体" w:hAnsi="宋体" w:cs="宋体"/>
          <w:sz w:val="22"/>
          <w:szCs w:val="22"/>
          <w:highlight w:val="none"/>
          <w:lang w:val="en-US" w:eastAsia="zh-CN"/>
        </w:rPr>
        <w:t xml:space="preserve">1、采购清单中技术要求前标有“☆☆”的技术参数（共4条），投标人需提供产品功能演示视频，投标人提交的产品演示视频（含功能演示、参数实测、操作展示等），需与实际所投产品技术参数、功能一致。</w:t>
      </w:r>
      <w:r/>
    </w:p>
    <w:p>
      <w:pPr>
        <w:ind w:firstLine="442"/>
        <w:spacing w:line="499" w:lineRule="atLeast"/>
        <w:shd w:val="clear" w:color="auto"/>
        <w:widowControl w:val="off"/>
      </w:pPr>
      <w:r>
        <w:rPr>
          <w:rFonts w:hint="eastAsia" w:ascii="宋体" w:hAnsi="宋体" w:cs="宋体"/>
          <w:sz w:val="22"/>
          <w:szCs w:val="22"/>
          <w:highlight w:val="none"/>
          <w:lang w:val="en-US" w:eastAsia="zh-CN"/>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3、采用类似于真实系统录屏演示的，视频文件的格式为*.mp4或*.avi，投标人将视频文件分段压缩为*.zip文件上传在苏采云投标文件组成—“视频演示”中，单个视频不超过50M，所有视频总共不超过300M。</w:t>
      </w:r>
      <w:r/>
      <w:r>
        <w:rPr>
          <w:rFonts w:hint="eastAsia" w:ascii="宋体" w:hAnsi="宋体" w:cs="宋体"/>
          <w:sz w:val="22"/>
          <w:szCs w:val="22"/>
          <w:highlight w:val="none"/>
          <w:lang w:val="en-US" w:eastAsia="zh-CN"/>
        </w:rPr>
      </w:r>
      <w:r>
        <w:rPr>
          <w:rFonts w:hint="eastAsia" w:ascii="宋体" w:hAnsi="宋体" w:cs="宋体"/>
          <w:sz w:val="22"/>
          <w:szCs w:val="22"/>
          <w:highlight w:val="none"/>
          <w:lang w:val="en-US" w:eastAsia="zh-CN"/>
        </w:rPr>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rPr>
          <w:rFonts w:hint="eastAsia" w:ascii="宋体" w:hAnsi="宋体" w:eastAsia="宋体" w:cs="宋体"/>
          <w:sz w:val="22"/>
          <w:szCs w:val="22"/>
          <w:highlight w:val="none"/>
          <w:lang w:eastAsia="zh-CN"/>
        </w:rP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778"/>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第五章评标方法与评标标准</w:t>
      </w:r>
      <w:r/>
    </w:p>
    <w:p>
      <w:pPr>
        <w:numPr>
          <w:ilvl w:val="0"/>
          <w:numId w:val="0"/>
        </w:numPr>
        <w:ind w:firstLine="562"/>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highlight w:val="none"/>
          <w14:textFill>
            <w14:solidFill>
              <w14:schemeClr w14:val="tx1"/>
            </w14:solidFill>
          </w14:textFill>
        </w:rPr>
        <w:t xml:space="preserve">资格审查</w:t>
      </w:r>
      <w:r/>
    </w:p>
    <w:p>
      <w:pPr>
        <w:numPr>
          <w:ilvl w:val="0"/>
          <w:numId w:val="0"/>
        </w:numPr>
        <w:ind w:firstLine="44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资格审查人员按照下列指标对各投标人的资格进行审查，未通过审查的为无效标，不参与评标。</w:t>
      </w:r>
      <w:r/>
    </w:p>
    <w:tbl>
      <w:tblPr>
        <w:tblStyle w:val="7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不接受联合体投标</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投标代理人(授权委托人)资格要求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numPr>
          <w:ilvl w:val="0"/>
          <w:numId w:val="0"/>
        </w:numPr>
        <w:ind w:firstLine="562"/>
        <w:spacing w:line="499" w:lineRule="atLeast"/>
        <w:shd w:val="clear" w:color="auto"/>
        <w:rPr>
          <w:rFonts w:hint="eastAsia" w:ascii="宋体" w:hAnsi="宋体" w:eastAsia="宋体" w:cs="宋体"/>
          <w:b/>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二、符合性审查</w:t>
      </w:r>
      <w:r/>
    </w:p>
    <w:p>
      <w:pPr>
        <w:numPr>
          <w:ilvl w:val="0"/>
          <w:numId w:val="0"/>
        </w:numPr>
        <w:ind w:firstLine="440"/>
        <w:spacing w:line="499" w:lineRule="atLeast"/>
        <w:shd w:val="clear" w:color="auto"/>
        <w:rPr>
          <w:rFonts w:hint="eastAsia" w:ascii="宋体" w:hAnsi="宋体" w:eastAsia="宋体" w:cs="宋体"/>
          <w:color w:val="000000" w:themeColor="text1"/>
          <w:sz w:val="20"/>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788"/>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r>
              <w:t xml:space="preserve">报价符合性审查</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法定代表人身份证明或授权委托书</w:t>
            </w: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技术标准和要求</w:t>
            </w:r>
            <w:r>
              <w:rPr>
                <w:rFonts w:hint="eastAsia" w:ascii="宋体" w:hAnsi="宋体" w:eastAsia="宋体" w:cs="宋体"/>
                <w:color w:val="000000" w:themeColor="text1"/>
                <w:highlight w:val="none"/>
                <w14:textFill>
                  <w14:solidFill>
                    <w14:schemeClr w14:val="tx1"/>
                  </w14:solidFill>
                </w14:textFill>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rPr>
                <w:rFonts w:hint="eastAsia" w:ascii="宋体" w:hAnsi="宋体" w:eastAsia="宋体" w:cs="宋体"/>
                <w:color w:val="000000" w:themeColor="text1"/>
                <w:highlight w:val="none"/>
                <w14:textFill>
                  <w14:solidFill>
                    <w14:schemeClr w14:val="tx1"/>
                  </w14:solidFill>
                </w14:textFill>
              </w:rPr>
            </w:r>
            <w:r/>
            <w:r>
              <w:rPr>
                <w:rFonts w:hint="eastAsia" w:ascii="宋体" w:hAnsi="宋体" w:eastAsia="宋体" w:cs="宋体"/>
                <w:color w:val="000000" w:themeColor="text1"/>
                <w:highlight w:val="none"/>
                <w14:textFill>
                  <w14:solidFill>
                    <w14:schemeClr w14:val="tx1"/>
                  </w14:solidFill>
                </w14:textFill>
              </w:rPr>
            </w:r>
            <w:r>
              <w:rPr>
                <w:rFonts w:hint="eastAsia" w:ascii="宋体" w:hAnsi="宋体" w:eastAsia="宋体" w:cs="宋体"/>
                <w:color w:val="000000" w:themeColor="text1"/>
                <w:highlight w:val="none"/>
                <w14:textFill>
                  <w14:solidFill>
                    <w14:schemeClr w14:val="tx1"/>
                  </w14:solidFill>
                </w14:textFill>
              </w:rPr>
            </w:r>
            <w:r>
              <w:rPr>
                <w:rFonts w:hint="eastAsia" w:ascii="宋体" w:hAnsi="宋体" w:eastAsia="宋体" w:cs="宋体"/>
                <w:color w:val="000000"/>
                <w:highlight w:val="none"/>
              </w:rP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ind w:firstLine="562"/>
        <w:spacing w:line="499" w:lineRule="atLeast"/>
        <w:shd w:val="clear" w:color="auto"/>
        <w:rPr>
          <w:rFonts w:hint="eastAsia" w:ascii="宋体" w:hAnsi="宋体" w:eastAsia="宋体" w:cs="宋体"/>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中标候选人并列的，由采购人采取随机抽取的方式确定。</w:t>
      </w:r>
      <w:r/>
    </w:p>
    <w:p>
      <w:pPr>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详细评审。</w:t>
      </w:r>
      <w:r>
        <w:rPr>
          <w:rFonts w:hint="eastAsia" w:ascii="宋体" w:hAnsi="宋体" w:eastAsia="宋体" w:cs="宋体"/>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788"/>
        <w:tblW w:w="5464"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28"/>
        <w:gridCol w:w="672"/>
        <w:gridCol w:w="7393"/>
        <w:gridCol w:w="636"/>
      </w:tblGrid>
      <w:tr>
        <w:trPr>
          <w:trHeight w:val="450"/>
          <w:tblHeader/>
        </w:trPr>
        <w:tc>
          <w:tcPr>
            <w:shd w:val="clear" w:color="auto" w:fill="ffffff"/>
            <w:tcBorders>
              <w:bottom w:val="single" w:color="666666" w:sz="2" w:space="0"/>
              <w:right w:val="single" w:color="666666" w:sz="2" w:space="0"/>
            </w:tcBorders>
            <w:tcMar>
              <w:left w:w="38" w:type="dxa"/>
              <w:top w:w="38" w:type="dxa"/>
              <w:right w:w="34" w:type="dxa"/>
              <w:bottom w:w="34" w:type="dxa"/>
            </w:tcMar>
            <w:tcW w:w="18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指标序号</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7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评审因素</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409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评审指标</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5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评价分值</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投标报价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采用低价优先法计算，即满足招标文件要求且投标价格最低的投标报价为评标基准价，其价格分为满分。其他投标人投标报价得分＝（评标基准价/投标报价）*30分。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30.0</w:t>
            </w:r>
            <w:r/>
          </w:p>
        </w:tc>
      </w:tr>
      <w:tr>
        <w:trPr>
          <w:trHeight w:val="299"/>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技术参数响应</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针对招标文件“</w:t>
            </w:r>
            <w:r>
              <w:rPr>
                <w:rFonts w:hint="eastAsia" w:ascii="宋体" w:hAnsi="宋体" w:eastAsia="宋体" w:cs="宋体"/>
                <w:color w:val="333333"/>
                <w:highlight w:val="none"/>
                <w:lang w:val="en-US" w:eastAsia="zh-CN"/>
              </w:rPr>
              <w:t xml:space="preserve">采购需求</w:t>
            </w:r>
            <w:r>
              <w:rPr>
                <w:rFonts w:ascii="宋体" w:hAnsi="宋体" w:eastAsia="宋体" w:cs="宋体"/>
                <w:color w:val="333333"/>
                <w:highlight w:val="none"/>
                <w:lang w:eastAsia="zh-CN"/>
              </w:rPr>
              <w:t xml:space="preserve">”中的采购清单及技术要求中所列内容进行评分，所投技术参数完全满足或优于招标文件技术参数要求的得</w:t>
            </w:r>
            <w:r>
              <w:rPr>
                <w:rFonts w:ascii="宋体" w:hAnsi="宋体" w:eastAsia="宋体" w:cs="宋体"/>
                <w:color w:val="333333"/>
                <w:highlight w:val="none"/>
                <w:lang w:eastAsia="zh-CN"/>
              </w:rPr>
              <w:t xml:space="preserve">3</w:t>
            </w:r>
            <w:r>
              <w:rPr>
                <w:rFonts w:hint="eastAsia" w:ascii="宋体" w:hAnsi="宋体" w:cs="宋体"/>
                <w:color w:val="333333"/>
                <w:highlight w:val="none"/>
                <w:lang w:val="en-US" w:eastAsia="zh-CN"/>
              </w:rPr>
              <w:t xml:space="preserve">8</w:t>
            </w:r>
            <w:r>
              <w:rPr>
                <w:rFonts w:ascii="宋体" w:hAnsi="宋体" w:eastAsia="宋体" w:cs="宋体"/>
                <w:color w:val="333333"/>
                <w:highlight w:val="none"/>
                <w:lang w:eastAsia="zh-CN"/>
              </w:rPr>
              <w:t xml:space="preserve">分。</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eastAsia="zh-CN"/>
              </w:rPr>
              <w:t xml:space="preserve">1、采购清单中技术要求前标有“★”部分，为实质性要求技术参数（共</w:t>
            </w:r>
            <w:r>
              <w:rPr>
                <w:rFonts w:hint="eastAsia" w:ascii="宋体" w:hAnsi="宋体" w:eastAsia="宋体" w:cs="宋体"/>
                <w:color w:val="333333"/>
                <w:highlight w:val="none"/>
                <w:lang w:val="en-US" w:eastAsia="zh-CN"/>
              </w:rPr>
              <w:t xml:space="preserve">1</w:t>
            </w:r>
            <w:r>
              <w:rPr>
                <w:rFonts w:hint="eastAsia" w:ascii="宋体" w:hAnsi="宋体" w:eastAsia="宋体" w:cs="宋体"/>
                <w:color w:val="333333"/>
                <w:highlight w:val="none"/>
                <w:lang w:eastAsia="zh-CN"/>
              </w:rPr>
              <w:t xml:space="preserve">条），不接受负偏离，按要求提供证明材料，否则按无效标处理。</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2、</w:t>
            </w:r>
            <w:r>
              <w:rPr>
                <w:rFonts w:ascii="宋体" w:hAnsi="宋体" w:eastAsia="宋体" w:cs="宋体"/>
                <w:color w:val="333333"/>
                <w:highlight w:val="none"/>
                <w:lang w:eastAsia="zh-CN"/>
              </w:rPr>
              <w:t xml:space="preserve">采购清单中技术要求前标有“▲”部分为重要技术参数（共</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条，合计</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分），</w:t>
            </w:r>
            <w:r>
              <w:rPr>
                <w:rFonts w:hint="eastAsia" w:ascii="宋体" w:hAnsi="宋体" w:eastAsia="宋体" w:cs="宋体"/>
                <w:color w:val="333333"/>
                <w:highlight w:val="none"/>
                <w:lang w:eastAsia="zh-CN"/>
              </w:rPr>
              <w:t xml:space="preserve">每有一项（一个句号的完整内容为一“项 ”）负偏离扣1分，扣完为止</w:t>
            </w:r>
            <w:r>
              <w:rPr>
                <w:rFonts w:ascii="宋体" w:hAnsi="宋体" w:eastAsia="宋体" w:cs="宋体"/>
                <w:color w:val="333333"/>
                <w:highlight w:val="none"/>
                <w:lang w:eastAsia="zh-CN"/>
              </w:rPr>
              <w:t xml:space="preserve">。</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3</w:t>
            </w:r>
            <w:r>
              <w:rPr>
                <w:rFonts w:ascii="宋体" w:hAnsi="宋体" w:eastAsia="宋体" w:cs="宋体"/>
                <w:color w:val="333333"/>
                <w:highlight w:val="none"/>
                <w:lang w:eastAsia="zh-CN"/>
              </w:rPr>
              <w:t xml:space="preserve">、采购清单中技术要求前标</w:t>
            </w:r>
            <w:r>
              <w:rPr>
                <w:rFonts w:ascii="宋体" w:hAnsi="宋体" w:eastAsia="宋体" w:cs="宋体"/>
                <w:color w:val="auto"/>
                <w:highlight w:val="none"/>
                <w:lang w:eastAsia="zh-CN"/>
              </w:rPr>
              <w:t xml:space="preserve">有“#”部分为一般技术参数（共</w:t>
            </w:r>
            <w:r>
              <w:rPr>
                <w:rFonts w:hint="eastAsia" w:ascii="宋体" w:hAnsi="宋体" w:cs="宋体"/>
                <w:color w:val="auto"/>
                <w:highlight w:val="none"/>
                <w:lang w:val="en-US" w:eastAsia="zh-CN"/>
              </w:rPr>
              <w:t xml:space="preserve">478</w:t>
            </w:r>
            <w:r>
              <w:rPr>
                <w:rFonts w:ascii="宋体" w:hAnsi="宋体" w:eastAsia="宋体" w:cs="宋体"/>
                <w:color w:val="auto"/>
                <w:highlight w:val="none"/>
                <w:lang w:eastAsia="zh-CN"/>
              </w:rPr>
              <w:t xml:space="preserve">条，合计</w:t>
            </w:r>
            <w:r>
              <w:rPr>
                <w:rFonts w:hint="eastAsia" w:ascii="宋体" w:hAnsi="宋体" w:eastAsia="宋体" w:cs="宋体"/>
                <w:color w:val="auto"/>
                <w:highlight w:val="none"/>
                <w:lang w:val="en-US" w:eastAsia="zh-CN"/>
              </w:rPr>
              <w:t xml:space="preserve">14</w:t>
            </w:r>
            <w:r>
              <w:rPr>
                <w:rFonts w:ascii="宋体" w:hAnsi="宋体" w:eastAsia="宋体" w:cs="宋体"/>
                <w:color w:val="auto"/>
                <w:highlight w:val="none"/>
                <w:lang w:eastAsia="zh-CN"/>
              </w:rPr>
              <w:t xml:space="preserve">分），每有一项</w:t>
            </w:r>
            <w:r>
              <w:rPr>
                <w:rFonts w:hint="eastAsia" w:ascii="宋体" w:hAnsi="宋体" w:eastAsia="宋体" w:cs="宋体"/>
                <w:color w:val="auto"/>
                <w:highlight w:val="none"/>
                <w:lang w:eastAsia="zh-CN"/>
              </w:rPr>
              <w:t xml:space="preserve">（一个句号的完整内容为一“项 ”）</w:t>
            </w:r>
            <w:r>
              <w:rPr>
                <w:rFonts w:ascii="宋体" w:hAnsi="宋体" w:eastAsia="宋体" w:cs="宋体"/>
                <w:color w:val="auto"/>
                <w:highlight w:val="none"/>
                <w:lang w:eastAsia="zh-CN"/>
              </w:rPr>
              <w:t xml:space="preserve">负偏</w:t>
            </w:r>
            <w:r>
              <w:rPr>
                <w:rFonts w:ascii="宋体" w:hAnsi="宋体" w:eastAsia="宋体" w:cs="宋体"/>
                <w:color w:val="333333"/>
                <w:highlight w:val="none"/>
                <w:lang w:eastAsia="zh-CN"/>
              </w:rPr>
              <w:t xml:space="preserve">离扣0.</w:t>
            </w:r>
            <w:r>
              <w:rPr>
                <w:rFonts w:hint="eastAsia" w:ascii="宋体" w:hAnsi="宋体" w:eastAsia="宋体" w:cs="宋体"/>
                <w:color w:val="333333"/>
                <w:highlight w:val="none"/>
                <w:lang w:val="en-US" w:eastAsia="zh-CN"/>
              </w:rPr>
              <w:t xml:space="preserve">03</w:t>
            </w:r>
            <w:r>
              <w:rPr>
                <w:rFonts w:ascii="宋体" w:hAnsi="宋体" w:eastAsia="宋体" w:cs="宋体"/>
                <w:color w:val="333333"/>
                <w:highlight w:val="none"/>
                <w:lang w:eastAsia="zh-CN"/>
              </w:rPr>
              <w:t xml:space="preserve">分，扣完为止。</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①以上参数，投标人需详尽真实的在《技术要求响应及偏离表》内逐条响应，且均需在《技术要求响应及偏离表》内详尽真实的列明“超出、符合或偏离”情况，否则将视为未响应或无效响应；</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②标注“▲”号标记的技术参数均须按要求提供证明材料；</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③未提供证明材料的或者证明材料不满足技术参数要求的，将视为未响应或无效响应。</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val="en-US" w:eastAsia="zh-CN"/>
              </w:rPr>
              <w:t xml:space="preserve">4、</w:t>
            </w:r>
            <w:r>
              <w:rPr>
                <w:rFonts w:ascii="宋体" w:hAnsi="宋体" w:eastAsia="宋体" w:cs="宋体"/>
                <w:color w:val="333333"/>
                <w:highlight w:val="none"/>
                <w:lang w:eastAsia="zh-CN"/>
              </w:rPr>
              <w:t xml:space="preserve">视频演示</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10分</w:t>
            </w:r>
            <w:r>
              <w:rPr>
                <w:rFonts w:hint="eastAsia" w:ascii="宋体" w:hAnsi="宋体" w:cs="宋体"/>
                <w:color w:val="333333"/>
                <w:highlight w:val="none"/>
                <w:lang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lang w:val="en-US" w:eastAsia="zh-CN"/>
              </w:rPr>
              <w:t xml:space="preserve">智能特殊载体密集架</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2</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6</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（2）</w:t>
            </w:r>
            <w:r>
              <w:rPr>
                <w:rFonts w:hint="eastAsia" w:ascii="宋体" w:hAnsi="宋体" w:eastAsia="宋体" w:cs="宋体"/>
                <w:color w:val="333333"/>
                <w:highlight w:val="none"/>
                <w:lang w:val="en-US" w:eastAsia="zh-CN"/>
              </w:rPr>
              <w:t xml:space="preserve">VI设计</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1</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0.5</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0.2</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（3）</w:t>
            </w:r>
            <w:r>
              <w:rPr>
                <w:rFonts w:hint="eastAsia" w:ascii="宋体" w:hAnsi="宋体" w:eastAsia="宋体" w:cs="宋体"/>
                <w:color w:val="333333"/>
                <w:highlight w:val="none"/>
                <w:lang w:val="en-US" w:eastAsia="zh-CN"/>
              </w:rPr>
              <w:t xml:space="preserve">D区主题浮雕</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3</w:t>
            </w:r>
            <w:r>
              <w:rPr>
                <w:rFonts w:hint="eastAsia" w:ascii="宋体" w:hAnsi="宋体" w:cs="宋体"/>
                <w:color w:val="333333"/>
                <w:highlight w:val="none"/>
                <w:lang w:val="en-US" w:eastAsia="zh-CN"/>
              </w:rPr>
              <w:t xml:space="preserve">8</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企业业绩</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投标人自2023年1月1日以来（以合同签订时间为准）承担过</w:t>
            </w:r>
            <w:r>
              <w:rPr>
                <w:rFonts w:hint="eastAsia" w:ascii="宋体" w:hAnsi="宋体" w:cs="宋体"/>
                <w:color w:val="333333"/>
                <w:highlight w:val="none"/>
                <w:lang w:val="en-US" w:eastAsia="zh-CN"/>
              </w:rPr>
              <w:t xml:space="preserve">密集架或密集架系统</w:t>
            </w:r>
            <w:r>
              <w:rPr>
                <w:rFonts w:ascii="宋体" w:hAnsi="宋体" w:cs="宋体"/>
                <w:color w:val="333333"/>
                <w:highlight w:val="none"/>
                <w:lang w:eastAsia="zh-CN"/>
              </w:rPr>
              <w:t xml:space="preserve">类似项目业绩的，每提供一个得1分，最高得3分。注：1、投标文件中须同时提供中标（成交）通知书、合同及验收报告原件扫描件；2、业绩证明材料应能够明确反映投标人名称、项目内容、合同签订时间等主要信息，否则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节能环保</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1.投标产品在财政部，生态环境部公布的“环境标志产品政府采购品目清单”内，且投标文件中提供国家市场监督管理局确定的列入“参与实施政府采购环境标志产品认证机构名录”内的</w:t>
            </w:r>
            <w:r>
              <w:rPr>
                <w:rFonts w:ascii="宋体" w:hAnsi="宋体" w:cs="宋体"/>
                <w:color w:val="333333"/>
                <w:highlight w:val="none"/>
                <w:lang w:eastAsia="zh-CN"/>
              </w:rPr>
              <w:t xml:space="preserve">认证机构出具的、有效期内的该产品环境标志产品认证证书电子件的，每提供一个得0.5分，本项最高得0.5分。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0.5分，本项最高得0.5分。注：投标文件提供上述证书电子件和在国家市场监督管理总局全国认证认可信息公共服务平台查询认证完整页面截图，未提供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1.0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项目实施方案</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项目质量保证和进度保证措施需求</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—四、项目实施需求—（一）项目质量保证和进度保证措施需求”制定方案。方案内容详细，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eastAsia="宋体" w:cs="宋体"/>
                <w:color w:val="333333"/>
                <w:highlight w:val="none"/>
                <w:lang w:val="en-US" w:eastAsia="zh-CN"/>
              </w:rPr>
            </w:pPr>
            <w:r>
              <w:rPr>
                <w:rFonts w:hint="eastAsia" w:ascii="宋体" w:hAnsi="宋体" w:cs="宋体"/>
                <w:color w:val="333333"/>
                <w:highlight w:val="none"/>
                <w:lang w:val="en-US" w:eastAsia="zh-CN"/>
              </w:rPr>
              <w:t xml:space="preserve">二、</w:t>
            </w:r>
            <w:r>
              <w:rPr>
                <w:rFonts w:ascii="宋体" w:hAnsi="宋体" w:cs="宋体"/>
                <w:color w:val="333333"/>
                <w:highlight w:val="none"/>
              </w:rPr>
              <w:t xml:space="preserve">售后服务方案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—四、项目实施需求—（二）售后服务方案”制定方案。方案内容详细，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三、</w:t>
            </w:r>
            <w:r>
              <w:rPr>
                <w:rFonts w:hint="eastAsia" w:ascii="宋体" w:hAnsi="宋体" w:cs="宋体"/>
                <w:color w:val="333333"/>
                <w:highlight w:val="none"/>
                <w:lang w:eastAsia="zh-CN"/>
              </w:rPr>
              <w:t xml:space="preserve">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5分）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--（三）特藏库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val="en-US" w:eastAsia="zh-CN"/>
              </w:rPr>
              <w:t xml:space="preserve">需求</w:t>
            </w:r>
            <w:r>
              <w:rPr>
                <w:rFonts w:ascii="宋体" w:hAnsi="宋体" w:cs="宋体"/>
                <w:color w:val="333333"/>
                <w:highlight w:val="none"/>
                <w:lang w:eastAsia="zh-CN"/>
              </w:rPr>
              <w:t xml:space="preserve">”</w:t>
            </w:r>
            <w:r>
              <w:rPr>
                <w:rFonts w:hint="eastAsia" w:ascii="宋体" w:hAnsi="宋体" w:cs="宋体"/>
                <w:color w:val="333333"/>
                <w:highlight w:val="none"/>
                <w:lang w:eastAsia="zh-CN"/>
              </w:rPr>
              <w:t xml:space="preserve">提供设计方案：方案内容全面、组织严谨、关键点把控到位的，图纸设计清晰规范、标注明确、细节清晰，效果图能真实还原场馆效果、色彩搭配和谐、设计新颖、画面清晰，且优于采购需求的得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四、</w:t>
            </w:r>
            <w:r>
              <w:rPr>
                <w:rFonts w:hint="eastAsia" w:ascii="宋体" w:hAnsi="宋体" w:cs="宋体"/>
                <w:color w:val="333333"/>
                <w:highlight w:val="none"/>
                <w:lang w:eastAsia="zh-CN"/>
              </w:rPr>
              <w:t xml:space="preserve">临展厅</w:t>
            </w:r>
            <w:r>
              <w:rPr>
                <w:rFonts w:hint="eastAsia" w:ascii="宋体" w:hAnsi="宋体" w:cs="宋体"/>
                <w:color w:val="333333"/>
                <w:highlight w:val="none"/>
              </w:rPr>
              <w:t xml:space="preserve">布局设计</w:t>
            </w:r>
            <w:r>
              <w:rPr>
                <w:rFonts w:hint="eastAsia" w:ascii="宋体" w:hAnsi="宋体" w:cs="宋体"/>
                <w:color w:val="333333"/>
                <w:highlight w:val="none"/>
                <w:lang w:eastAsia="zh-CN"/>
              </w:rPr>
              <w:t xml:space="preserve">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2分）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--（四）临展厅布局设计方案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2</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0.5</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五、查档大厅布局设计方案（4分）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--四、项目实施需求--（四）</w:t>
            </w:r>
            <w:r>
              <w:rPr>
                <w:rFonts w:hint="eastAsia" w:ascii="宋体" w:hAnsi="宋体" w:cs="宋体"/>
                <w:color w:val="333333"/>
                <w:highlight w:val="none"/>
                <w:lang w:val="en-US" w:eastAsia="zh-CN"/>
              </w:rPr>
              <w:t xml:space="preserve">查档大厅布局设计方案需求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4</w:t>
            </w:r>
            <w:r>
              <w:rPr>
                <w:rFonts w:hint="eastAsia" w:ascii="宋体" w:hAnsi="宋体" w:cs="宋体"/>
                <w:color w:val="333333"/>
                <w:highlight w:val="none"/>
                <w:lang w:eastAsia="zh-CN"/>
              </w:rPr>
              <w:t xml:space="preserve">分；方案基本满足采购需求，核心设计无缺失；布局深化图纸齐全，参数标注基本规范；效果图按要求提供，能基本呈现设计内容得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六、</w:t>
            </w:r>
            <w:r>
              <w:rPr>
                <w:rFonts w:ascii="宋体" w:hAnsi="宋体" w:cs="宋体"/>
                <w:color w:val="333333"/>
                <w:highlight w:val="none"/>
                <w:lang w:eastAsia="zh-CN"/>
              </w:rPr>
              <w:t xml:space="preserve">档案主题文化建设方案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5分）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--（五）档案主题文化建设方案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”提供方案：方案内容全面、贴合区域特色与档案文化定位、设计逻辑严谨，CAD图纸齐全规范、标注清晰，文化展示效果贴合主题、质感精良、画面清晰，且优于采购需求的得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分；方案基本满足采购需求，核心设计无缺失；各类设计图纸齐全，参数标注基本规范；效果图按要求提供，能基本呈现设计内容得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七、</w:t>
            </w:r>
            <w:r>
              <w:rPr>
                <w:rFonts w:ascii="宋体" w:hAnsi="宋体" w:cs="宋体"/>
                <w:color w:val="333333"/>
                <w:highlight w:val="none"/>
              </w:rPr>
              <w:t xml:space="preserve">手动密集架实施方案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4分）</w:t>
            </w:r>
            <w:r/>
          </w:p>
          <w:p>
            <w:pPr>
              <w:shd w:val="clear" w:color="auto"/>
              <w:rPr>
                <w:rFonts w:hint="eastAsia"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--二、采购清单及技术要求--</w:t>
            </w: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、密集架部分（二至四层）--</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手动密集架清单”及</w:t>
            </w:r>
            <w:r>
              <w:rPr>
                <w:rFonts w:hint="eastAsia" w:ascii="宋体" w:hAnsi="宋体" w:cs="宋体"/>
                <w:color w:val="333333"/>
                <w:highlight w:val="none"/>
                <w:lang w:eastAsia="zh-CN"/>
              </w:rPr>
              <w:t xml:space="preserve">图纸</w:t>
            </w:r>
            <w:r>
              <w:rPr>
                <w:rFonts w:ascii="宋体" w:hAnsi="宋体" w:cs="宋体"/>
                <w:color w:val="333333"/>
                <w:highlight w:val="none"/>
                <w:lang w:eastAsia="zh-CN"/>
              </w:rPr>
              <w:t xml:space="preserve">制定项目实施方案</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方案内容全面、组织严谨、关键点把控到位的，且优于采购需求的，得</w:t>
            </w:r>
            <w:r>
              <w:rPr>
                <w:rFonts w:hint="eastAsia" w:ascii="宋体" w:hAnsi="宋体" w:cs="宋体"/>
                <w:color w:val="333333"/>
                <w:highlight w:val="none"/>
                <w:lang w:val="en-US" w:eastAsia="zh-CN"/>
              </w:rPr>
              <w:t xml:space="preserve">4</w:t>
            </w:r>
            <w:r>
              <w:rPr>
                <w:rFonts w:ascii="宋体" w:hAnsi="宋体" w:cs="宋体"/>
                <w:color w:val="333333"/>
                <w:highlight w:val="none"/>
                <w:lang w:eastAsia="zh-CN"/>
              </w:rPr>
              <w:t xml:space="preserve">分；内容较完整详实、思路清晰、可行性较好能够满足采购基本需求的，得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分；没有内容的不得分。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rPr>
            </w:pPr>
            <w:r>
              <w:rPr>
                <w:rFonts w:hint="eastAsia" w:ascii="宋体" w:hAnsi="宋体" w:cs="宋体"/>
                <w:color w:val="333333"/>
                <w:highlight w:val="none"/>
                <w:lang w:val="en-US" w:eastAsia="zh-CN"/>
              </w:rPr>
              <w:t xml:space="preserve">26</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公司人员履约能力</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numPr>
                <w:ilvl w:val="0"/>
                <w:numId w:val="17"/>
              </w:numPr>
              <w:shd w:val="clear" w:color="auto"/>
              <w:rPr>
                <w:rFonts w:hint="default" w:ascii="宋体" w:hAnsi="宋体" w:cs="宋体"/>
                <w:color w:val="333333"/>
                <w:highlight w:val="none"/>
                <w:lang w:eastAsia="zh-CN"/>
              </w:rPr>
            </w:pPr>
            <w:r>
              <w:rPr>
                <w:rFonts w:hint="eastAsia" w:ascii="宋体" w:hAnsi="宋体" w:cs="宋体"/>
                <w:color w:val="333333"/>
                <w:highlight w:val="none"/>
                <w:lang w:val="en-US" w:eastAsia="zh-CN"/>
              </w:rPr>
              <w:t xml:space="preserve">项目经理履约能力：</w:t>
            </w:r>
            <w:r>
              <w:rPr>
                <w:rFonts w:hint="default" w:ascii="宋体" w:hAnsi="宋体" w:cs="宋体"/>
                <w:color w:val="333333"/>
                <w:highlight w:val="none"/>
                <w:lang w:eastAsia="zh-CN"/>
              </w:rPr>
              <w:t xml:space="preserve">具有行政部门颁发的信息系统项目管理师、网络规划设计师的，上述证书任意一个得1分，最高得1分；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2、其他人员</w:t>
            </w:r>
            <w:r>
              <w:rPr>
                <w:rFonts w:hint="eastAsia" w:ascii="宋体" w:hAnsi="宋体" w:cs="宋体"/>
                <w:color w:val="333333"/>
                <w:highlight w:val="none"/>
                <w:lang w:val="en-US" w:eastAsia="zh-CN"/>
              </w:rPr>
              <w:t xml:space="preserve">履约能力</w:t>
            </w:r>
            <w:r>
              <w:rPr>
                <w:rFonts w:hint="default" w:ascii="宋体" w:hAnsi="宋体" w:cs="宋体"/>
                <w:color w:val="333333"/>
                <w:highlight w:val="none"/>
                <w:lang w:eastAsia="zh-CN"/>
              </w:rPr>
              <w:t xml:space="preserve">（不含项目</w:t>
            </w:r>
            <w:r>
              <w:rPr>
                <w:rFonts w:hint="eastAsia" w:ascii="宋体" w:hAnsi="宋体" w:cs="宋体"/>
                <w:color w:val="333333"/>
                <w:highlight w:val="none"/>
                <w:lang w:val="en-US" w:eastAsia="zh-CN"/>
              </w:rPr>
              <w:t xml:space="preserve">经理</w:t>
            </w:r>
            <w:r>
              <w:rPr>
                <w:rFonts w:hint="default" w:ascii="宋体" w:hAnsi="宋体" w:cs="宋体"/>
                <w:color w:val="333333"/>
                <w:highlight w:val="none"/>
                <w:lang w:eastAsia="zh-CN"/>
              </w:rPr>
              <w:t xml:space="preserve">）</w:t>
            </w:r>
            <w:r>
              <w:rPr>
                <w:rFonts w:hint="eastAsia" w:ascii="宋体" w:hAnsi="宋体" w:cs="宋体"/>
                <w:color w:val="333333"/>
                <w:highlight w:val="none"/>
                <w:lang w:eastAsia="zh-CN"/>
              </w:rPr>
              <w:t xml:space="preserve">：</w:t>
            </w:r>
            <w:r>
              <w:rPr>
                <w:rFonts w:hint="default" w:ascii="宋体" w:hAnsi="宋体" w:cs="宋体"/>
                <w:color w:val="333333"/>
                <w:highlight w:val="none"/>
                <w:lang w:eastAsia="zh-CN"/>
              </w:rPr>
              <w:t xml:space="preserve">具有行政部门颁发的软件设计师、网络工程师证书的，上述证书任意一个得1分，最高得1分。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注：1.上述项目组人员必须为本单位正式员工，并在投标文件中提供投标截止日前6个月内由本单位为其缴纳的任意1个月社会养老保险证明材料原件扫描件（参保人员参保状态为：参保缴费），否则不得分；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2.以上项目组成员证书必须在有效期内，须提供原件扫描件，同时提供身份证正反面原件扫描件，未提供的本项不得分。</w:t>
            </w:r>
            <w:r/>
          </w:p>
          <w:p>
            <w:pPr>
              <w:shd w:val="clear" w:color="auto"/>
              <w:rPr>
                <w:rFonts w:ascii="宋体" w:hAnsi="宋体" w:cs="宋体"/>
                <w:color w:val="333333"/>
                <w:highlight w:val="none"/>
                <w:lang w:eastAsia="zh-CN"/>
              </w:rPr>
            </w:pPr>
            <w:r>
              <w:rPr>
                <w:rFonts w:hint="default" w:ascii="宋体" w:hAnsi="宋体" w:cs="宋体"/>
                <w:color w:val="333333"/>
                <w:highlight w:val="none"/>
                <w:lang w:eastAsia="zh-CN"/>
              </w:rPr>
              <w:t xml:space="preserve">3.对中标供应商的项目组人员配备相关证书随成交（中标）结果公告同步予以公示。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eastAsia="zh-CN"/>
              </w:rPr>
              <w:t xml:space="preserve">2.0</w:t>
            </w:r>
            <w:r/>
          </w:p>
        </w:tc>
      </w:tr>
    </w:tbl>
    <w:p>
      <w:pPr>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（三）评标结果。</w:t>
      </w:r>
      <w:r>
        <w:rPr>
          <w:rFonts w:hint="eastAsia" w:ascii="宋体" w:hAnsi="宋体" w:eastAsia="宋体" w:cs="宋体"/>
          <w:color w:val="000000" w:themeColor="text1"/>
          <w:sz w:val="24"/>
          <w:highlight w:val="none"/>
          <w14:textFill>
            <w14:solidFill>
              <w14:schemeClr w14:val="tx1"/>
            </w14:solidFill>
          </w14:textFill>
        </w:rPr>
        <w:t xml:space="preserve">评标委员会按照本办法规定推荐中标候选人，并形成评标报告。</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（四）政府采购评审中出现下列情形之一的</w:t>
      </w:r>
      <w:r>
        <w:rPr>
          <w:rFonts w:hint="eastAsia" w:ascii="宋体" w:hAnsi="宋体" w:eastAsia="宋体" w:cs="宋体"/>
          <w:color w:val="000000" w:themeColor="text1"/>
          <w:sz w:val="24"/>
          <w:highlight w:val="none"/>
          <w14:textFill>
            <w14:solidFill>
              <w14:schemeClr w14:val="tx1"/>
            </w14:solidFill>
          </w14:textFill>
        </w:rPr>
        <w:t xml:space="preserve">，评审委员会应当启动异常低价投标（响应）审查程序：</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1.投标（响应）报价低于全部通过符合性审查供应商投标（响应）报价平 均值65%的，即投标（响应）报价&lt;全部通过符合性审查供应商投标（响应）报 价平均值×65%；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2.投标（响应）报价低于通过符合性审查的次低报价供应商投标（响应） 报价65%的，即投标（响应）报价&lt;通过符合性审查的次低报价供应商投标（响 应）报价×65%；</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3.投标（响应）报价低于采购项目最高限价65%的，即投标（响应）报价&lt; 采购项目最高限价×65%；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4.评审委员会基于专业判断，认为供应商报价过低，有可能影响产品质量 或者不能诚信履约的其他情形。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注：评审委员会启动异常低价投标（响应）审查后，属于前述第 1 项至 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评审委员会依据专业经验，参考同类项目中标（成交）价格、类似产品市 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 应当将其作为无效投标（响应）处理。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采购人、采购代理机构应当为评审委员会在评审现场及时获取同类项目中 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 互联网浏览、查询历史一并归档。</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78"/>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9" w:name="_Toc31527"/>
      <w:r/>
      <w:r/>
    </w:p>
    <w:p>
      <w:pPr>
        <w:pStyle w:val="778"/>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pStyle w:val="778"/>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第六章投标文件格式</w:t>
      </w:r>
      <w:bookmarkEnd w:id="79"/>
      <w:r>
        <w:rPr>
          <w:rFonts w:hint="eastAsia" w:ascii="宋体" w:hAnsi="宋体" w:eastAsia="宋体" w:cs="宋体"/>
          <w:b/>
          <w:color w:val="000000" w:themeColor="text1"/>
          <w:sz w:val="4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0" w:name="_Toc6090"/>
      <w:r/>
      <w:bookmarkStart w:id="81" w:name="_Toc4474"/>
      <w:r>
        <w:rPr>
          <w:rFonts w:hint="eastAsia" w:ascii="宋体" w:hAnsi="宋体" w:eastAsia="宋体" w:cs="宋体"/>
          <w:b/>
          <w:color w:val="000000" w:themeColor="text1"/>
          <w:sz w:val="72"/>
          <w:highlight w:val="none"/>
          <w14:textFill>
            <w14:solidFill>
              <w14:schemeClr w14:val="tx1"/>
            </w14:solidFill>
          </w14:textFill>
        </w:rPr>
        <w:t xml:space="preserve">投标文件</w:t>
      </w:r>
      <w:bookmarkEnd w:id="80"/>
      <w:r/>
      <w:bookmarkEnd w:id="81"/>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2" w:name="_Toc4722"/>
      <w:r/>
      <w:bookmarkStart w:id="83" w:name="_Toc9884"/>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2"/>
      <w:r/>
      <w:bookmarkEnd w:id="83"/>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4" w:name="_Toc19306"/>
      <w:r/>
      <w:bookmarkStart w:id="85" w:name="_Toc22176"/>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 </w:t>
      </w:r>
      <w:bookmarkEnd w:id="84"/>
      <w:r/>
      <w:bookmarkEnd w:id="85"/>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6" w:name="_Toc20675"/>
      <w:r/>
      <w:bookmarkStart w:id="87" w:name="_Toc10978"/>
      <w:r>
        <w:rPr>
          <w:rFonts w:hint="eastAsia" w:ascii="宋体" w:hAnsi="宋体" w:eastAsia="宋体" w:cs="宋体"/>
          <w:b/>
          <w:color w:val="000000" w:themeColor="text1"/>
          <w:sz w:val="36"/>
          <w:highlight w:val="none"/>
          <w14:textFill>
            <w14:solidFill>
              <w14:schemeClr w14:val="tx1"/>
            </w14:solidFill>
          </w14:textFill>
        </w:rPr>
        <w:t xml:space="preserve">投标人名称 ：</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bookmarkEnd w:id="86"/>
      <w:r/>
      <w:bookmarkEnd w:id="87"/>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8" w:name="_Toc7618"/>
      <w:r/>
      <w:bookmarkStart w:id="89" w:name="_Toc31364"/>
      <w:r>
        <w:rPr>
          <w:rFonts w:hint="eastAsia" w:ascii="宋体" w:hAnsi="宋体" w:eastAsia="宋体" w:cs="宋体"/>
          <w:b/>
          <w:color w:val="000000" w:themeColor="text1"/>
          <w:sz w:val="36"/>
          <w:highlight w:val="none"/>
          <w14:textFill>
            <w14:solidFill>
              <w14:schemeClr w14:val="tx1"/>
            </w14:solidFill>
          </w14:textFill>
        </w:rPr>
        <w:t xml:space="preserve">日期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8"/>
      <w:r/>
      <w:bookmarkEnd w:id="89"/>
      <w:r/>
      <w:r/>
    </w:p>
    <w:p>
      <w:pPr>
        <w:jc w:val="cente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1084"/>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1084"/>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0" w:name="_Toc12344"/>
      <w:r/>
      <w:bookmarkStart w:id="91" w:name="_Toc24693"/>
      <w:r>
        <w:rPr>
          <w:rFonts w:hint="eastAsia" w:ascii="宋体" w:hAnsi="宋体" w:cs="宋体"/>
          <w:b/>
          <w:sz w:val="32"/>
          <w:highlight w:val="none"/>
        </w:rPr>
        <w:t xml:space="preserve">投标文件的组成</w:t>
      </w:r>
      <w:bookmarkEnd w:id="90"/>
      <w:r/>
      <w:bookmarkEnd w:id="91"/>
      <w:r/>
      <w:r/>
    </w:p>
    <w:p>
      <w:pPr>
        <w:jc w:val="center"/>
        <w:spacing w:line="43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2" w:name="_Toc6358"/>
      <w:r/>
      <w:bookmarkStart w:id="93" w:name="_Toc17380"/>
      <w:r>
        <w:rPr>
          <w:rFonts w:hint="eastAsia" w:ascii="宋体" w:hAnsi="宋体" w:cs="宋体"/>
          <w:b/>
          <w:sz w:val="24"/>
          <w:highlight w:val="none"/>
        </w:rPr>
        <w:t xml:space="preserve">一、基本目录</w:t>
      </w:r>
      <w:bookmarkEnd w:id="92"/>
      <w:r/>
      <w:bookmarkEnd w:id="93"/>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1.开标一览表（格式见附件1）</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2.投标分项报价表（格式见附件2）</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3.技术要求响应及偏离表（格式见附件3）</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4.商务要求响应及偏离表（格式见附件4）</w:t>
      </w:r>
      <w:r/>
    </w:p>
    <w:p>
      <w:pPr>
        <w:pStyle w:val="793"/>
        <w:shd w:val="clear" w:color="auto"/>
        <w:rPr>
          <w:rFonts w:hint="eastAsia" w:ascii="宋体" w:hAnsi="宋体" w:eastAsia="宋体" w:cs="宋体"/>
          <w:highlight w:val="none"/>
        </w:rPr>
      </w:pPr>
      <w:r>
        <w:rPr>
          <w:rFonts w:hint="eastAsia" w:ascii="宋体" w:hAnsi="宋体" w:eastAsia="宋体" w:cs="宋体"/>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4" w:name="_Toc14068"/>
      <w:r/>
      <w:bookmarkStart w:id="95" w:name="_Toc16757"/>
      <w:r>
        <w:rPr>
          <w:rFonts w:hint="eastAsia" w:ascii="宋体" w:hAnsi="宋体" w:cs="宋体"/>
          <w:b/>
          <w:sz w:val="24"/>
          <w:highlight w:val="none"/>
        </w:rPr>
        <w:t xml:space="preserve">二、资格审查内容</w:t>
      </w:r>
      <w:bookmarkEnd w:id="94"/>
      <w:r/>
      <w:bookmarkEnd w:id="95"/>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1.投标声明及承诺函（格式见附件5）</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2.信用信息</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3.联合体投标</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4.落实政府采购政策需满足的资格要求（格式见附件7、8）</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5.特定资格要求的证明文件（如果本项目对投标人做出特定资格要求的，</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必须提供）</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6.分包意向协议（格式见附件10）</w:t>
      </w:r>
      <w:r/>
    </w:p>
    <w:p>
      <w:pPr>
        <w:pStyle w:val="793"/>
        <w:shd w:val="clear" w:color="auto"/>
        <w:rPr>
          <w:highlight w:val="none"/>
        </w:rPr>
      </w:pPr>
      <w:r>
        <w:rPr>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6" w:name="_Toc23092"/>
      <w:r/>
      <w:bookmarkStart w:id="97" w:name="_Toc27849"/>
      <w:r>
        <w:rPr>
          <w:rFonts w:hint="eastAsia" w:ascii="宋体" w:hAnsi="宋体" w:cs="宋体"/>
          <w:b/>
          <w:sz w:val="24"/>
          <w:highlight w:val="none"/>
        </w:rPr>
        <w:t xml:space="preserve">三、符合性审查内容</w:t>
      </w:r>
      <w:bookmarkEnd w:id="96"/>
      <w:r/>
      <w:bookmarkEnd w:id="97"/>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1.法定代表人身份证明或授权委托书（格式见附件6）</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2.投标人必须对技术要求和商务要求中的实质性要求（</w:t>
      </w:r>
      <w:r>
        <w:rPr>
          <w:rFonts w:hint="eastAsia" w:ascii="宋体" w:hAnsi="宋体" w:cs="宋体"/>
          <w:i/>
          <w:iCs/>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）逐条做出明确响应，并按照招标文件要求提供证明材料，否则做无效投标处理。（格式见附件9）</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8" w:name="_Toc27156"/>
      <w:r/>
      <w:bookmarkStart w:id="99" w:name="_Toc10481"/>
      <w:r>
        <w:rPr>
          <w:rFonts w:hint="eastAsia" w:ascii="宋体" w:hAnsi="宋体" w:cs="宋体"/>
          <w:b/>
          <w:sz w:val="24"/>
          <w:highlight w:val="none"/>
        </w:rPr>
        <w:t xml:space="preserve">四、价格扣除证明文件</w:t>
      </w:r>
      <w:bookmarkEnd w:id="98"/>
      <w:r/>
      <w:bookmarkEnd w:id="99"/>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1.中小微企业声明函（格式见附件7）</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2.残疾人福利性单位声明函（格式见附件8）</w:t>
      </w:r>
      <w:r/>
    </w:p>
    <w:p>
      <w:pPr>
        <w:ind w:left="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0" w:name="_Toc28915"/>
      <w:r/>
      <w:bookmarkStart w:id="101" w:name="_Toc16588"/>
      <w:r>
        <w:rPr>
          <w:rFonts w:hint="eastAsia" w:ascii="宋体" w:hAnsi="宋体" w:cs="宋体"/>
          <w:b/>
          <w:sz w:val="24"/>
          <w:highlight w:val="none"/>
        </w:rPr>
        <w:t xml:space="preserve">附件1 开标一览表</w:t>
      </w:r>
      <w:bookmarkEnd w:id="100"/>
      <w:r/>
      <w:bookmarkEnd w:id="101"/>
      <w:r/>
      <w:r/>
    </w:p>
    <w:p>
      <w:pPr>
        <w:ind w:firstLine="482"/>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投标人全称（加盖CA电子签章）：</w:t>
      </w:r>
      <w:r/>
    </w:p>
    <w:p>
      <w:pPr>
        <w:ind w:firstLine="482"/>
        <w:spacing w:line="400"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泗洪县档案馆库房档案装具及文化建设项目</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JSZC-321324-XSZX-G2026-0011 </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分包号：</w:t>
      </w:r>
      <w:r>
        <w:rPr>
          <w:rFonts w:hint="eastAsia" w:ascii="宋体" w:hAnsi="宋体" w:cs="宋体"/>
          <w:sz w:val="24"/>
          <w:highlight w:val="none"/>
          <w:lang w:eastAsia="zh-CN"/>
        </w:rPr>
        <w:t xml:space="preserve">JSZC-321324-XSZX-G2026-0011 </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小写：                    （人民币：元）</w:t>
            </w:r>
            <w:r/>
          </w:p>
        </w:tc>
      </w:tr>
    </w:tbl>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559" w:lineRule="atLeast"/>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480"/>
        <w:spacing w:line="559" w:lineRule="atLeast"/>
        <w:shd w:val="clear" w:color="auto"/>
        <w:rPr>
          <w:highlight w:val="none"/>
        </w:rPr>
        <w:pBdr>
          <w:top w:val="none" w:color="000000" w:sz="0" w:space="0"/>
          <w:left w:val="none" w:color="000000" w:sz="0" w:space="0"/>
          <w:bottom w:val="none" w:color="000000" w:sz="0" w:space="0"/>
          <w:right w:val="none" w:color="000000" w:sz="0" w:space="0"/>
        </w:pBdr>
      </w:pPr>
      <w:r/>
      <w:bookmarkStart w:id="102" w:name="_Toc11148"/>
      <w:r>
        <w:rPr>
          <w:rFonts w:hint="eastAsia" w:ascii="宋体" w:hAnsi="宋体" w:cs="宋体"/>
          <w:b/>
          <w:sz w:val="24"/>
          <w:highlight w:val="none"/>
        </w:rPr>
        <w:t xml:space="preserve">附件2 投标分项报价表（分包号：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2"/>
      <w:r/>
      <w:r/>
    </w:p>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 </w:t>
      </w:r>
      <w:r/>
    </w:p>
    <w:tbl>
      <w:tblPr>
        <w:tblStyle w:val="788"/>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23"/>
        <w:gridCol w:w="715"/>
        <w:gridCol w:w="773"/>
        <w:gridCol w:w="677"/>
        <w:gridCol w:w="1016"/>
        <w:gridCol w:w="761"/>
        <w:gridCol w:w="1315"/>
        <w:gridCol w:w="797"/>
        <w:gridCol w:w="703"/>
        <w:gridCol w:w="820"/>
        <w:gridCol w:w="750"/>
      </w:tblGrid>
      <w:tr>
        <w:trPr>
          <w:cantSplit/>
          <w:trHeight w:val="544"/>
        </w:trPr>
        <w:tc>
          <w:tcPr>
            <w:tcW w:w="632" w:type="dxa"/>
            <w:vAlign w:val="top"/>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2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7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632"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632" w:type="dxa"/>
            <w:vAlign w:val="center"/>
            <w:textDirection w:val="lrTb"/>
            <w:noWrap w:val="false"/>
          </w:tcPr>
          <w:p>
            <w:pPr>
              <w:jc w:val="center"/>
              <w:spacing w:line="0" w:lineRule="atLeas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23" w:type="dxa"/>
            <w:vAlign w:val="center"/>
            <w:textDirection w:val="lrTb"/>
            <w:noWrap w:val="false"/>
          </w:tcPr>
          <w:p>
            <w:pPr>
              <w:jc w:val="center"/>
              <w:spacing w:line="0" w:lineRule="atLeas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5" w:type="dxa"/>
            <w:vAlign w:val="center"/>
            <w:textDirection w:val="lrTb"/>
            <w:noWrap w:val="false"/>
          </w:tcPr>
          <w:p>
            <w:pPr>
              <w:jc w:val="center"/>
              <w:spacing w:line="0" w:lineRule="atLeas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79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820" w:type="dxa"/>
            <w:vAlign w:val="center"/>
            <w:textDirection w:val="lrTb"/>
            <w:noWrap w:val="false"/>
          </w:tcPr>
          <w:p>
            <w:pPr>
              <w:jc w:val="center"/>
              <w:spacing w:line="0" w:lineRule="atLeast"/>
              <w:shd w:val="clear" w:color="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5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632"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2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632"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2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632" w:type="dxa"/>
            <w:vAlign w:val="top"/>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800"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c>
          <w:tcPr>
            <w:tcW w:w="750" w:type="dxa"/>
            <w:vAlign w:val="top"/>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left="240" w:hanging="240"/>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1.“投标总报价”应包括所投货物（包含与货物相关的服务）费用、</w:t>
      </w:r>
      <w:r>
        <w:rPr>
          <w:rFonts w:hint="eastAsia" w:ascii="仿宋" w:hAnsi="仿宋" w:eastAsia="仿宋" w:cs="仿宋"/>
          <w:sz w:val="24"/>
          <w:szCs w:val="24"/>
          <w:highlight w:val="none"/>
          <w:lang w:val="en-US" w:eastAsia="zh-CN"/>
        </w:rPr>
        <w:t xml:space="preserve">现场勘察、设计、</w:t>
      </w:r>
      <w:r>
        <w:rPr>
          <w:rFonts w:hint="eastAsia" w:ascii="仿宋" w:hAnsi="仿宋" w:eastAsia="仿宋" w:cs="仿宋"/>
          <w:sz w:val="24"/>
          <w:szCs w:val="24"/>
          <w:highlight w:val="none"/>
        </w:rPr>
        <w:t xml:space="preserve">安装调试费、测试费、培训费、运行维护费用、验收所需费用和所有相关税金费用及为完成整个项目所产生的其它所有费用，招标文件另有规定的除外。</w:t>
      </w:r>
      <w:r/>
    </w:p>
    <w:p>
      <w:pPr>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“投标分项报价表”中“投标总报价”数额应当与“开标一览表”中“投标总报价”数额一致。</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r>
      <w:r/>
    </w:p>
    <w:p>
      <w:pPr>
        <w:jc w:val="center"/>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bookmarkStart w:id="103" w:name="_Toc22721"/>
      <w:r>
        <w:rPr>
          <w:rFonts w:hint="eastAsia" w:ascii="宋体" w:hAnsi="宋体" w:cs="宋体"/>
          <w:b/>
          <w:sz w:val="24"/>
          <w:highlight w:val="none"/>
        </w:rPr>
        <w:t xml:space="preserve">附件3 技术要求响应及偏离表（分包号：</w:t>
      </w:r>
      <w:bookmarkEnd w:id="103"/>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4" w:name="_Toc9001"/>
      <w:r/>
      <w:bookmarkStart w:id="105" w:name="_Toc6706"/>
      <w:r>
        <w:rPr>
          <w:rFonts w:hint="eastAsia" w:ascii="宋体" w:hAnsi="宋体" w:cs="宋体"/>
          <w:sz w:val="24"/>
          <w:highlight w:val="none"/>
        </w:rPr>
        <w:t xml:space="preserve">附件3-1  证明材料1，证明材料2，……</w:t>
      </w:r>
      <w:bookmarkEnd w:id="104"/>
      <w:r/>
      <w:bookmarkEnd w:id="105"/>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1.投标人需对技术要求（未加斜体下划线的非实质性要求）逐条做出明确响应。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bookmarkStart w:id="106" w:name="_Toc1634"/>
      <w:r>
        <w:rPr>
          <w:rFonts w:hint="eastAsia" w:ascii="宋体" w:hAnsi="宋体" w:cs="宋体"/>
          <w:b/>
          <w:sz w:val="24"/>
          <w:highlight w:val="none"/>
        </w:rPr>
        <w:t xml:space="preserve">附件4 商务要求响应及偏离表（分包号：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6"/>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7" w:name="_Toc19771"/>
      <w:r/>
      <w:bookmarkStart w:id="108" w:name="_Toc11974"/>
      <w:r>
        <w:rPr>
          <w:rFonts w:hint="eastAsia" w:ascii="宋体" w:hAnsi="宋体" w:cs="宋体"/>
          <w:sz w:val="24"/>
          <w:highlight w:val="none"/>
        </w:rPr>
        <w:t xml:space="preserve">附件4-1  证明材料1，证明材料2，……</w:t>
      </w:r>
      <w:bookmarkEnd w:id="107"/>
      <w:r/>
      <w:bookmarkEnd w:id="108"/>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1.投标人需对商务要求（未加斜体下划线的非实质性要求）逐条做出明确响应。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spacing w:before="260" w:after="260" w:line="98"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09" w:name="_Toc8806"/>
      <w:r/>
      <w:bookmarkStart w:id="110" w:name="_Toc16294"/>
      <w:r>
        <w:rPr>
          <w:rFonts w:hint="eastAsia" w:ascii="宋体" w:hAnsi="宋体" w:cs="宋体"/>
          <w:b/>
          <w:sz w:val="24"/>
          <w:highlight w:val="none"/>
        </w:rPr>
        <w:t xml:space="preserve">附件5                              </w:t>
      </w:r>
      <w:bookmarkEnd w:id="109"/>
      <w:r/>
      <w:bookmarkEnd w:id="110"/>
      <w:r/>
      <w:r/>
    </w:p>
    <w:p>
      <w:pPr>
        <w:jc w:val="center"/>
        <w:keepLines/>
        <w:keepNext/>
        <w:spacing w:before="260" w:after="260" w:line="416" w:lineRule="auto"/>
        <w:shd w:val="clear" w:color="auto"/>
        <w:rPr>
          <w:rFonts w:hint="eastAsia" w:ascii="宋体" w:hAnsi="宋体" w:cs="宋体"/>
          <w:b/>
          <w:sz w:val="24"/>
          <w:highlight w:val="none"/>
        </w:rPr>
        <w:outlineLvl w:val="1"/>
      </w:pPr>
      <w:r>
        <w:rPr>
          <w:rFonts w:hint="eastAsia" w:ascii="宋体" w:hAnsi="宋体" w:cs="宋体"/>
          <w:b/>
          <w:sz w:val="24"/>
          <w:highlight w:val="none"/>
        </w:rPr>
        <w:t xml:space="preserve">投标声明及承诺函</w:t>
      </w:r>
      <w:r/>
    </w:p>
    <w:p>
      <w:pPr>
        <w:pStyle w:val="793"/>
        <w:shd w:val="clear" w:color="auto"/>
        <w:rPr>
          <w:rFonts w:hint="eastAsia" w:ascii="宋体" w:hAnsi="宋体" w:eastAsia="宋体" w:cs="宋体"/>
          <w:highlight w:val="none"/>
        </w:rPr>
      </w:pPr>
      <w:r>
        <w:rPr>
          <w:rFonts w:hint="eastAsia" w:ascii="宋体" w:hAnsi="宋体" w:eastAsia="宋体" w:cs="宋体"/>
          <w:highlight w:val="none"/>
        </w:rPr>
      </w:r>
      <w:r/>
    </w:p>
    <w:p>
      <w:pPr>
        <w:jc w:val="left"/>
        <w:spacing w:line="420" w:lineRule="exact"/>
        <w:shd w:val="clear" w:color="auto"/>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泗洪县档案馆 </w:t>
      </w:r>
      <w:r/>
    </w:p>
    <w:p>
      <w:pPr>
        <w:ind w:firstLine="480"/>
        <w:spacing w:line="559" w:lineRule="atLeast"/>
        <w:shd w:val="clear" w:color="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highlight w:val="none"/>
          <w:u w:val="single"/>
          <w:lang w:eastAsia="zh-CN"/>
        </w:rPr>
        <w:t xml:space="preserve">JSZC-321324-XSZX-G2026-0011 </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的招标文件，我方在参加本项目招投标活动中，特做出如下承诺：</w:t>
      </w:r>
      <w:r/>
    </w:p>
    <w:p>
      <w:pPr>
        <w:pStyle w:val="1180"/>
        <w:ind w:firstLine="480"/>
        <w:jc w:val="left"/>
        <w:spacing w:line="500" w:lineRule="exact"/>
        <w:shd w:val="clear" w:color="auto"/>
        <w:rPr>
          <w:rFonts w:hint="eastAsia" w:ascii="宋体" w:hAnsi="宋体" w:cs="宋体"/>
          <w:sz w:val="24"/>
          <w:highlight w:val="none"/>
        </w:rPr>
      </w:pPr>
      <w:r/>
      <w:bookmarkStart w:id="111" w:name="OLE_LINK2"/>
      <w:r>
        <w:rPr>
          <w:rFonts w:hint="eastAsia" w:ascii="宋体" w:hAnsi="宋体" w:cs="宋体"/>
          <w:sz w:val="24"/>
          <w:szCs w:val="24"/>
          <w:highlight w:val="none"/>
        </w:rPr>
        <w:t xml:space="preserve">1.</w:t>
      </w:r>
      <w:bookmarkEnd w:id="111"/>
      <w:r>
        <w:rPr>
          <w:rFonts w:hint="eastAsia" w:ascii="宋体" w:hAnsi="宋体" w:cs="宋体"/>
          <w:sz w:val="24"/>
          <w:szCs w:val="24"/>
          <w:highlight w:val="none"/>
        </w:rPr>
        <w:t xml:space="preserve">我方</w:t>
      </w:r>
      <w:r>
        <w:rPr>
          <w:rFonts w:hint="eastAsia" w:ascii="宋体" w:hAnsi="宋体" w:cs="宋体"/>
          <w:sz w:val="24"/>
          <w:highlight w:val="none"/>
        </w:rPr>
        <w:t xml:space="preserve">具备《中华人民共和国政府采购法》第二十二条第一款规定的6项条件；</w:t>
      </w:r>
      <w:r/>
    </w:p>
    <w:p>
      <w:pPr>
        <w:pStyle w:val="1180"/>
        <w:ind w:firstLine="480"/>
        <w:jc w:val="left"/>
        <w:spacing w:line="500" w:lineRule="exact"/>
        <w:shd w:val="clear" w:color="auto"/>
        <w:rPr>
          <w:rFonts w:hint="eastAsia" w:ascii="宋体" w:hAnsi="宋体" w:cs="宋体"/>
          <w:sz w:val="24"/>
          <w:szCs w:val="24"/>
          <w:highlight w:val="none"/>
        </w:rPr>
      </w:pPr>
      <w:r/>
      <w:bookmarkStart w:id="112" w:name="OLE_LINK3"/>
      <w:r>
        <w:rPr>
          <w:rFonts w:hint="eastAsia" w:ascii="宋体" w:hAnsi="宋体" w:cs="宋体"/>
          <w:sz w:val="24"/>
          <w:szCs w:val="24"/>
          <w:highlight w:val="none"/>
        </w:rPr>
        <w:t xml:space="preserve">2.</w:t>
      </w:r>
      <w:bookmarkEnd w:id="112"/>
      <w:r>
        <w:rPr>
          <w:rFonts w:hint="eastAsia" w:ascii="宋体" w:hAnsi="宋体" w:cs="宋体"/>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80"/>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3.我方按招标文件要求提交投标文件，响应招标文件规定的投标有效期。</w:t>
      </w:r>
      <w:r/>
    </w:p>
    <w:p>
      <w:pPr>
        <w:pStyle w:val="1180"/>
        <w:ind w:firstLine="480"/>
        <w:jc w:val="left"/>
        <w:spacing w:line="500" w:lineRule="exact"/>
        <w:shd w:val="clear" w:color="auto"/>
        <w:rPr>
          <w:rFonts w:hint="eastAsia" w:ascii="宋体" w:hAnsi="宋体" w:cs="宋体"/>
          <w:sz w:val="24"/>
          <w:szCs w:val="24"/>
          <w:highlight w:val="none"/>
        </w:rPr>
      </w:pPr>
      <w:r/>
      <w:bookmarkStart w:id="113" w:name="OLE_LINK4"/>
      <w:r>
        <w:rPr>
          <w:rFonts w:hint="eastAsia" w:ascii="宋体" w:hAnsi="宋体" w:cs="宋体"/>
          <w:sz w:val="24"/>
          <w:szCs w:val="24"/>
          <w:highlight w:val="none"/>
        </w:rPr>
        <w:t xml:space="preserve">4.</w:t>
      </w:r>
      <w:bookmarkEnd w:id="113"/>
      <w:r>
        <w:rPr>
          <w:rFonts w:hint="eastAsia" w:ascii="宋体" w:hAnsi="宋体" w:cs="宋体"/>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1180"/>
        <w:ind w:firstLine="480"/>
        <w:jc w:val="left"/>
        <w:spacing w:line="500" w:lineRule="exact"/>
        <w:shd w:val="clear" w:color="auto"/>
        <w:rPr>
          <w:rFonts w:hint="eastAsia" w:ascii="宋体" w:hAnsi="宋体" w:cs="宋体"/>
          <w:sz w:val="24"/>
          <w:szCs w:val="24"/>
          <w:highlight w:val="none"/>
        </w:rPr>
      </w:pPr>
      <w:r/>
      <w:bookmarkStart w:id="114" w:name="OLE_LINK5"/>
      <w:r>
        <w:rPr>
          <w:rFonts w:hint="eastAsia" w:ascii="宋体" w:hAnsi="宋体" w:cs="宋体"/>
          <w:sz w:val="24"/>
          <w:szCs w:val="24"/>
          <w:highlight w:val="none"/>
        </w:rPr>
        <w:t xml:space="preserve">5.</w:t>
      </w:r>
      <w:bookmarkEnd w:id="114"/>
      <w:r>
        <w:rPr>
          <w:rFonts w:hint="eastAsia" w:ascii="宋体" w:hAnsi="宋体" w:cs="宋体"/>
          <w:sz w:val="24"/>
          <w:szCs w:val="24"/>
          <w:highlight w:val="none"/>
        </w:rPr>
        <w:t xml:space="preserve">我方若违背本声明及承诺约定，经查实，自愿接受采购人及相关主管部门相应的规定处理，并依法承担相应的法律责任。</w:t>
      </w:r>
      <w:r/>
    </w:p>
    <w:p>
      <w:pPr>
        <w:pStyle w:val="1180"/>
        <w:ind w:firstLine="480"/>
        <w:jc w:val="left"/>
        <w:spacing w:line="500" w:lineRule="exact"/>
        <w:shd w:val="clear" w:color="auto"/>
        <w:rPr>
          <w:rFonts w:hint="eastAsia" w:ascii="宋体" w:hAnsi="宋体" w:cs="宋体"/>
          <w:sz w:val="24"/>
          <w:szCs w:val="24"/>
          <w:highlight w:val="none"/>
        </w:rPr>
      </w:pPr>
      <w:r/>
      <w:bookmarkStart w:id="115" w:name="OLE_LINK6"/>
      <w:r>
        <w:rPr>
          <w:rFonts w:hint="eastAsia" w:ascii="宋体" w:hAnsi="宋体" w:cs="宋体"/>
          <w:sz w:val="24"/>
          <w:szCs w:val="24"/>
          <w:highlight w:val="none"/>
        </w:rPr>
        <w:t xml:space="preserve">6.</w:t>
      </w:r>
      <w:bookmarkEnd w:id="115"/>
      <w:r>
        <w:rPr>
          <w:rFonts w:hint="eastAsia" w:ascii="宋体" w:hAnsi="宋体" w:cs="宋体"/>
          <w:sz w:val="24"/>
          <w:szCs w:val="24"/>
          <w:highlight w:val="none"/>
        </w:rPr>
        <w:t xml:space="preserve">我方同意采购人、采购代理机构将本声明及承诺函上网公开。</w:t>
      </w:r>
      <w:r/>
    </w:p>
    <w:p>
      <w:pPr>
        <w:pStyle w:val="1180"/>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80"/>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1180"/>
        <w:ind w:firstLine="480"/>
        <w:shd w:val="clear" w:color="auto"/>
        <w:rPr>
          <w:rFonts w:hint="eastAsia" w:ascii="宋体" w:hAnsi="宋体" w:cs="宋体"/>
          <w:highlight w:val="none"/>
        </w:rPr>
      </w:pPr>
      <w:r>
        <w:rPr>
          <w:rFonts w:hint="eastAsia" w:ascii="宋体" w:hAnsi="宋体" w:cs="宋体"/>
          <w:sz w:val="24"/>
          <w:szCs w:val="24"/>
          <w:highlight w:val="none"/>
        </w:rPr>
        <w:t xml:space="preserve">日期：    年    月   日</w:t>
      </w:r>
      <w:r/>
    </w:p>
    <w:p>
      <w:pPr>
        <w:ind w:firstLine="480"/>
        <w:spacing w:line="460" w:lineRule="exact"/>
        <w:shd w:val="clear" w:color="auto"/>
        <w:rPr>
          <w:rFonts w:hint="eastAsia" w:ascii="宋体" w:hAnsi="宋体" w:cs="宋体"/>
          <w:b/>
          <w:sz w:val="24"/>
          <w:highlight w:val="none"/>
        </w:rPr>
      </w:pPr>
      <w:r>
        <w:rPr>
          <w:rFonts w:hint="eastAsia" w:ascii="宋体" w:hAnsi="宋体" w:cs="宋体"/>
          <w:b/>
          <w:sz w:val="24"/>
          <w:highlight w:val="none"/>
        </w:rPr>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16" w:name="_Toc6130"/>
      <w:r/>
      <w:bookmarkStart w:id="117" w:name="_Toc19600"/>
      <w:r>
        <w:rPr>
          <w:rFonts w:hint="eastAsia" w:ascii="宋体" w:hAnsi="宋体" w:cs="宋体"/>
          <w:b/>
          <w:sz w:val="24"/>
          <w:highlight w:val="none"/>
        </w:rPr>
        <w:t xml:space="preserve">附件6          </w:t>
      </w:r>
      <w:bookmarkEnd w:id="116"/>
      <w:r/>
      <w:bookmarkEnd w:id="117"/>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法人授权书</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本授权书声明：____________（投标人名称）授权________________（被授权人的姓名）为我方就</w:t>
      </w:r>
      <w:r>
        <w:rPr>
          <w:rFonts w:hint="eastAsia" w:ascii="宋体" w:hAnsi="宋体" w:cs="宋体"/>
          <w:sz w:val="24"/>
          <w:highlight w:val="none"/>
          <w:u w:val="single"/>
          <w:lang w:eastAsia="zh-CN"/>
        </w:rPr>
        <w:t xml:space="preserve">JSZC-321324-XSZX-G2026-0011 </w:t>
      </w:r>
      <w:r>
        <w:rPr>
          <w:rFonts w:hint="eastAsia" w:ascii="宋体" w:hAnsi="宋体" w:cs="宋体"/>
          <w:sz w:val="24"/>
          <w:highlight w:val="none"/>
        </w:rPr>
        <w:t xml:space="preserve">号</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rPr>
        <w:t xml:space="preserve">采购活动的合法代理人，以本单位名义全权处理一切与该项目采购有关的事务。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本授权书于______年____月____日起生效，特此声明。</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被授权人身份证号码：</w:t>
      </w:r>
      <w:r>
        <w:rPr>
          <w:rFonts w:hint="eastAsia" w:ascii="宋体" w:hAnsi="宋体" w:cs="宋体"/>
          <w:sz w:val="24"/>
          <w:highlight w:val="none"/>
          <w:u w:val="singl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被授权人联系电话：（手机）</w:t>
      </w:r>
      <w:r>
        <w:rPr>
          <w:rFonts w:hint="eastAsia" w:ascii="宋体" w:hAnsi="宋体" w:cs="宋体"/>
          <w:sz w:val="24"/>
          <w:highlight w:val="none"/>
          <w:u w:val="single"/>
        </w:rPr>
        <w:t xml:space="preserve">          </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授权单位名称：</w:t>
      </w:r>
      <w:r>
        <w:rPr>
          <w:rFonts w:hint="eastAsia" w:ascii="宋体" w:hAnsi="宋体" w:cs="宋体"/>
          <w:sz w:val="24"/>
          <w:highlight w:val="none"/>
          <w:u w:val="single"/>
        </w:rPr>
        <w:t xml:space="preserve">（加盖CA电子公章）</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单位地址：</w:t>
      </w:r>
      <w:r>
        <w:rPr>
          <w:rFonts w:hint="eastAsia" w:ascii="宋体" w:hAnsi="宋体" w:cs="宋体"/>
          <w:sz w:val="24"/>
          <w:highlight w:val="none"/>
          <w:u w:val="singl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日期：</w:t>
      </w:r>
      <w:r>
        <w:rPr>
          <w:rFonts w:hint="eastAsia" w:ascii="宋体" w:hAnsi="宋体" w:cs="宋体"/>
          <w:sz w:val="24"/>
          <w:highlight w:val="none"/>
          <w:u w:val="singl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99" w:lineRule="atLeast"/>
        <w:shd w:val="clear" w:color="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注：投标代理人(授权委托人)必须为本单位正式员工，并在投标文件中提供投标截止日前6个月内由本单位为其缴纳的任意1个月社会养老保险证明。</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both"/>
        <w:spacing w:line="559" w:lineRule="atLeast"/>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rPr>
      </w:r>
      <w:r>
        <w:rPr>
          <w:rFonts w:hint="eastAsia" w:ascii="宋体" w:hAnsi="宋体" w:eastAsia="宋体" w:cs="宋体"/>
          <w:b/>
          <w:sz w:val="24"/>
          <w:highlight w:val="none"/>
        </w:rPr>
      </w:r>
    </w:p>
    <w:p>
      <w:pPr>
        <w:ind w:firstLine="241"/>
        <w:jc w:val="both"/>
        <w:spacing w:line="559" w:lineRule="atLeast"/>
        <w:shd w:val="clear" w:color="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bookmarkStart w:id="118" w:name="_Toc13078"/>
      <w:r/>
      <w:bookmarkStart w:id="119" w:name="_Toc9636"/>
      <w:r>
        <w:rPr>
          <w:rFonts w:hint="eastAsia" w:ascii="宋体" w:hAnsi="宋体" w:eastAsia="宋体" w:cs="宋体"/>
          <w:b/>
          <w:sz w:val="24"/>
          <w:highlight w:val="none"/>
        </w:rPr>
        <w:t xml:space="preserve">附件7 </w:t>
      </w:r>
      <w:r/>
    </w:p>
    <w:p>
      <w:pPr>
        <w:jc w:val="center"/>
        <w:spacing w:line="56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8"/>
          <w:szCs w:val="22"/>
          <w:highlight w:val="none"/>
        </w:rPr>
        <w:t xml:space="preserve"> 中小微企业声明函（货物类项目）</w:t>
      </w:r>
      <w:r/>
    </w:p>
    <w:p>
      <w:pPr>
        <w:ind w:firstLine="65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本公司（联合体）郑重声明，根据《政府采购促进中小企业发展管理办法》(财库[2020]46号)的规定，本公司（联合体）参加的</w:t>
      </w:r>
      <w:r>
        <w:rPr>
          <w:rFonts w:hint="eastAsia" w:ascii="宋体" w:hAnsi="宋体" w:cs="宋体"/>
          <w:sz w:val="24"/>
          <w:highlight w:val="none"/>
          <w:u w:val="single"/>
        </w:rPr>
        <w:t xml:space="preserve">泗洪县档案馆</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cs="宋体"/>
          <w:bCs/>
          <w:iCs/>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numPr>
          <w:ilvl w:val="0"/>
          <w:numId w:val="0"/>
        </w:numPr>
        <w:ind w:firstLine="48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823"/>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cs="宋体"/>
          <w:b/>
          <w:sz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241"/>
        <w:jc w:val="center"/>
        <w:spacing w:line="559"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t xml:space="preserve"> 中小微企业声明函（服务</w:t>
      </w:r>
      <w:r>
        <w:rPr>
          <w:rFonts w:hint="eastAsia" w:ascii="宋体" w:hAnsi="宋体" w:cs="宋体"/>
          <w:b/>
          <w:sz w:val="24"/>
          <w:highlight w:val="none"/>
          <w:lang w:val="en-US" w:eastAsia="zh-CN"/>
        </w:rPr>
        <w:t xml:space="preserve">/工程类</w:t>
      </w:r>
      <w:r>
        <w:rPr>
          <w:rFonts w:hint="eastAsia" w:ascii="宋体" w:hAnsi="宋体" w:cs="宋体"/>
          <w:b/>
          <w:sz w:val="24"/>
          <w:highlight w:val="none"/>
        </w:rPr>
        <w:t xml:space="preserve">项目）</w:t>
      </w:r>
      <w:bookmarkEnd w:id="118"/>
      <w:r/>
      <w:bookmarkEnd w:id="119"/>
      <w:r/>
      <w:r/>
    </w:p>
    <w:p>
      <w:pPr>
        <w:pStyle w:val="1162"/>
        <w:jc w:val="both"/>
        <w:shd w:val="clear" w:color="auto"/>
        <w:rPr>
          <w:rFonts w:hint="eastAsia" w:ascii="宋体" w:hAnsi="宋体" w:cs="宋体"/>
          <w:b/>
          <w:sz w:val="32"/>
          <w:szCs w:val="32"/>
          <w:highlight w:val="none"/>
        </w:rPr>
      </w:pPr>
      <w:r>
        <w:rPr>
          <w:rFonts w:hint="eastAsia" w:ascii="宋体" w:hAnsi="宋体" w:cs="宋体"/>
          <w:b/>
          <w:sz w:val="32"/>
          <w:szCs w:val="32"/>
          <w:highlight w:val="none"/>
        </w:rPr>
      </w:r>
      <w:r/>
    </w:p>
    <w:p>
      <w:pPr>
        <w:pStyle w:val="1162"/>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szCs w:val="24"/>
          <w:highlight w:val="none"/>
        </w:rPr>
        <w:t xml:space="preserve">采购活动，</w:t>
      </w:r>
      <w:r>
        <w:rPr>
          <w:rFonts w:hint="eastAsia" w:ascii="宋体" w:hAnsi="宋体"/>
          <w:sz w:val="24"/>
          <w:szCs w:val="24"/>
          <w:highlight w:val="none"/>
        </w:rPr>
        <w:t xml:space="preserve">服务全部由符合政策的中小微企业承接。相关企业（含联合体中的中小微企业、签订采购包意向协议的中小微企业）的具体情况如下：</w:t>
      </w:r>
      <w:r/>
    </w:p>
    <w:p>
      <w:pPr>
        <w:pStyle w:val="1162"/>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62"/>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62"/>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650"/>
        <w:spacing w:line="400" w:lineRule="atLeast"/>
        <w:shd w:val="clear" w:color="auto"/>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pStyle w:val="1162"/>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162"/>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7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ind w:right="1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spacing w:line="360" w:lineRule="auto"/>
        <w:shd w:val="clear" w:color="auto"/>
        <w:rPr>
          <w:rFonts w:hint="eastAsia" w:ascii="宋体" w:hAnsi="宋体" w:cs="宋体"/>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日</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color w:val="auto"/>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rPr>
          <w:rFonts w:hint="eastAsia" w:ascii="宋体" w:hAnsi="宋体" w:eastAsia="宋体" w:cs="宋体"/>
          <w:b/>
          <w:bCs/>
          <w:color w:val="auto"/>
          <w:sz w:val="28"/>
          <w:szCs w:val="28"/>
          <w:highlight w:val="none"/>
          <w:lang w:val="en-US" w:eastAsia="zh-CN"/>
        </w:rP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823"/>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480"/>
        <w:spacing w:line="360" w:lineRule="auto"/>
        <w:shd w:val="clear" w:color="auto"/>
        <w:tabs>
          <w:tab w:val="left" w:pos="5580" w:leader="none"/>
        </w:tabs>
        <w:rPr>
          <w:rFonts w:hint="eastAsia" w:ascii="宋体" w:hAnsi="宋体" w:cs="宋体"/>
          <w:highlight w:val="none"/>
        </w:rPr>
      </w:pPr>
      <w:r>
        <w:rPr>
          <w:rFonts w:hint="eastAsia" w:ascii="宋体" w:hAnsi="宋体" w:cs="宋体"/>
          <w:sz w:val="24"/>
          <w:highlight w:val="none"/>
        </w:rPr>
        <w:br w:type="page" w:clear="all"/>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20" w:name="_Toc8096"/>
      <w:r/>
      <w:bookmarkStart w:id="121" w:name="_Toc7552"/>
      <w:r>
        <w:rPr>
          <w:rFonts w:hint="eastAsia" w:ascii="宋体" w:hAnsi="宋体" w:cs="宋体"/>
          <w:b/>
          <w:sz w:val="24"/>
          <w:highlight w:val="none"/>
        </w:rPr>
        <w:t xml:space="preserve">附件8  残疾人福利性单位声明函</w:t>
      </w:r>
      <w:bookmarkEnd w:id="120"/>
      <w:r/>
      <w:bookmarkEnd w:id="121"/>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r>
      <w:r/>
    </w:p>
    <w:p>
      <w:pPr>
        <w:ind w:firstLine="480"/>
        <w:spacing w:line="360" w:lineRule="auto"/>
        <w:shd w:val="clear" w:color="auto"/>
        <w:rPr>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单位的采购文件编号为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rPr>
        <w:t xml:space="preserve">号的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（分包号：</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u w:val="single"/>
        </w:rPr>
        <w:t xml:space="preserve">号 </w:t>
      </w:r>
      <w:r>
        <w:rPr>
          <w:rFonts w:hint="eastAsia" w:ascii="宋体" w:hAnsi="宋体" w:cs="宋体"/>
          <w:sz w:val="24"/>
          <w:highlight w:val="none"/>
        </w:rPr>
        <w:t xml:space="preserve">）</w:t>
      </w:r>
      <w:r>
        <w:rPr>
          <w:rFonts w:hint="eastAsia"/>
          <w:sz w:val="24"/>
          <w:highlight w:val="none"/>
        </w:rPr>
        <w:t xml:space="preserve">采购活动由本单位提供服务。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本单位对上述声明的真实性负责。如有虚假，将依法承担相应责任。</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pacing w:line="360" w:lineRule="auto"/>
        <w:shd w:val="clear" w:color="auto"/>
        <w:rPr>
          <w:sz w:val="24"/>
          <w:highlight w:val="none"/>
        </w:rPr>
      </w:pPr>
      <w:r>
        <w:rPr>
          <w:sz w:val="24"/>
          <w:highlight w:val="none"/>
        </w:rPr>
      </w:r>
      <w:r/>
    </w:p>
    <w:p>
      <w:pPr>
        <w:ind w:firstLine="480"/>
        <w:spacing w:line="360" w:lineRule="auto"/>
        <w:shd w:val="clear" w:color="auto"/>
        <w:rPr>
          <w:sz w:val="24"/>
          <w:highlight w:val="none"/>
        </w:rPr>
      </w:pPr>
      <w:r>
        <w:rPr>
          <w:rFonts w:hint="eastAsia"/>
          <w:sz w:val="24"/>
          <w:highlight w:val="none"/>
        </w:rPr>
        <w:t xml:space="preserve">备注：1、投标人如不提供此声明函，价格将不做相应扣除。</w:t>
      </w:r>
      <w:r/>
    </w:p>
    <w:p>
      <w:pPr>
        <w:ind w:firstLine="480"/>
        <w:spacing w:line="360" w:lineRule="auto"/>
        <w:shd w:val="clear" w:color="auto"/>
        <w:rPr>
          <w:sz w:val="24"/>
          <w:highlight w:val="none"/>
        </w:rPr>
      </w:pPr>
      <w:r>
        <w:rPr>
          <w:rFonts w:hint="eastAsia"/>
          <w:sz w:val="24"/>
          <w:highlight w:val="none"/>
        </w:rPr>
        <w:t xml:space="preserve">2、中标人为残疾人福利单位的，此声明函将随中标结果同时公告，接受社会监督。</w:t>
      </w:r>
      <w:r/>
    </w:p>
    <w:p>
      <w:pPr>
        <w:ind w:firstLine="624"/>
        <w:spacing w:line="587"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p>
    <w:p>
      <w:pPr>
        <w:ind w:right="1559" w:firstLine="624"/>
        <w:jc w:val="right"/>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rPr>
          <w:rFonts w:hint="eastAsia" w:ascii="宋体" w:hAnsi="宋体" w:cs="宋体"/>
          <w:sz w:val="24"/>
          <w:highlight w:val="none"/>
        </w:rPr>
        <w:t xml:space="preserve">供应商全称（加盖CA电子公章）：</w:t>
      </w:r>
      <w:r/>
    </w:p>
    <w:p>
      <w:pPr>
        <w:ind w:right="1559" w:firstLine="2880"/>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rPr>
          <w:rFonts w:hint="eastAsia" w:ascii="宋体" w:hAnsi="宋体" w:cs="宋体"/>
          <w:sz w:val="24"/>
          <w:szCs w:val="24"/>
          <w:highlight w:val="none"/>
        </w:rPr>
        <w:t xml:space="preserve"> 年    月   日</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2" w:name="_Toc29429"/>
      <w:r/>
      <w:bookmarkStart w:id="123" w:name="_Toc15921"/>
      <w:r>
        <w:rPr>
          <w:rFonts w:hint="eastAsia" w:ascii="宋体" w:hAnsi="宋体" w:cs="宋体"/>
          <w:b/>
          <w:sz w:val="24"/>
          <w:highlight w:val="none"/>
        </w:rPr>
        <w:t xml:space="preserve">附件9实质性要求响应及偏离表（分包号：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号 ）</w:t>
      </w:r>
      <w:bookmarkEnd w:id="122"/>
      <w:r/>
      <w:bookmarkEnd w:id="123"/>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4" w:name="_Toc7148"/>
      <w:r/>
      <w:bookmarkStart w:id="125" w:name="_Toc10338"/>
      <w:r>
        <w:rPr>
          <w:rFonts w:hint="eastAsia" w:ascii="宋体" w:hAnsi="宋体" w:cs="宋体"/>
          <w:sz w:val="24"/>
          <w:highlight w:val="none"/>
        </w:rPr>
        <w:t xml:space="preserve">附件9-1 证明材料1，证明材料2，……</w:t>
      </w:r>
      <w:bookmarkEnd w:id="124"/>
      <w:r/>
      <w:bookmarkEnd w:id="125"/>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1.投标人必须对技术要求和商务要求中的实质性要求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2.如果招标文件要求提供证明材料，投标人必须将证明材料列于该表之下。</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pStyle w:val="793"/>
        <w:shd w:val="clear" w:color="auto"/>
        <w:rPr>
          <w:rFonts w:hint="eastAsia" w:ascii="宋体" w:hAnsi="宋体" w:eastAsia="宋体" w:cs="宋体"/>
          <w:b/>
          <w:highlight w:val="none"/>
        </w:rPr>
      </w:pPr>
      <w:r>
        <w:rPr>
          <w:rFonts w:hint="eastAsia" w:ascii="宋体" w:hAnsi="宋体" w:eastAsia="宋体" w:cs="宋体"/>
          <w:b/>
          <w:highlight w:val="none"/>
        </w:rPr>
      </w:r>
      <w:r/>
    </w:p>
    <w:p>
      <w:pPr>
        <w:pStyle w:val="789"/>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93"/>
        <w:shd w:val="clear" w:color="auto"/>
        <w:rPr>
          <w:rFonts w:hint="eastAsia" w:ascii="宋体" w:hAnsi="宋体" w:eastAsia="宋体" w:cs="宋体"/>
          <w:b/>
          <w:highlight w:val="none"/>
        </w:rPr>
      </w:pPr>
      <w:r>
        <w:rPr>
          <w:rFonts w:hint="eastAsia" w:ascii="宋体" w:hAnsi="宋体" w:eastAsia="宋体" w:cs="宋体"/>
          <w:b/>
          <w:highlight w:val="none"/>
        </w:rPr>
      </w:r>
      <w:r/>
    </w:p>
    <w:p>
      <w:pPr>
        <w:pStyle w:val="789"/>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93"/>
        <w:shd w:val="clear" w:color="auto"/>
        <w:rPr>
          <w:rFonts w:hint="eastAsia" w:ascii="宋体" w:hAnsi="宋体" w:eastAsia="宋体" w:cs="宋体"/>
          <w:b/>
          <w:highlight w:val="none"/>
        </w:rPr>
      </w:pPr>
      <w:r>
        <w:rPr>
          <w:rFonts w:hint="eastAsia" w:ascii="宋体" w:hAnsi="宋体" w:eastAsia="宋体" w:cs="宋体"/>
          <w:b/>
          <w:highlight w:val="none"/>
        </w:rPr>
      </w:r>
      <w:r/>
    </w:p>
    <w:p>
      <w:pPr>
        <w:pStyle w:val="789"/>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1178"/>
        <w:shd w:val="clear" w:color="auto"/>
        <w:rPr>
          <w:rFonts w:hint="eastAsia" w:ascii="宋体" w:hAnsi="宋体" w:eastAsia="宋体" w:cs="宋体"/>
          <w:sz w:val="24"/>
          <w:highlight w:val="none"/>
        </w:rPr>
        <w:outlineLvl w:val="1"/>
      </w:pPr>
      <w:r>
        <w:rPr>
          <w:rFonts w:hint="eastAsia" w:ascii="宋体" w:hAnsi="宋体" w:eastAsia="宋体" w:cs="宋体"/>
          <w:sz w:val="24"/>
          <w:highlight w:val="none"/>
        </w:rPr>
      </w:r>
      <w:r/>
    </w:p>
    <w:p>
      <w:pPr>
        <w:pStyle w:val="1178"/>
        <w:shd w:val="clear" w:color="auto"/>
        <w:rPr>
          <w:rFonts w:hint="eastAsia" w:ascii="宋体" w:hAnsi="宋体" w:eastAsia="宋体" w:cs="宋体"/>
          <w:sz w:val="24"/>
          <w:highlight w:val="none"/>
        </w:rPr>
        <w:outlineLvl w:val="1"/>
      </w:pPr>
      <w:r>
        <w:rPr>
          <w:rFonts w:hint="eastAsia" w:ascii="宋体" w:hAnsi="宋体" w:eastAsia="宋体" w:cs="宋体"/>
          <w:sz w:val="24"/>
          <w:highlight w:val="none"/>
        </w:rPr>
      </w:r>
      <w:r/>
    </w:p>
    <w:p>
      <w:pPr>
        <w:pStyle w:val="1178"/>
        <w:shd w:val="clear" w:color="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附件10分包意向协议</w:t>
      </w:r>
      <w:r/>
    </w:p>
    <w:p>
      <w:pPr>
        <w:pStyle w:val="1178"/>
        <w:jc w:val="both"/>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1178"/>
        <w:jc w:val="center"/>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分包意向协议书</w:t>
      </w:r>
      <w:r/>
    </w:p>
    <w:p>
      <w:pPr>
        <w:pStyle w:val="1175"/>
        <w:shd w:val="clear" w:color="auto"/>
        <w:rPr>
          <w:rFonts w:cs="宋体"/>
          <w:sz w:val="24"/>
          <w:szCs w:val="24"/>
          <w:highlight w:val="none"/>
        </w:rPr>
      </w:pPr>
      <w:r>
        <w:rPr>
          <w:rFonts w:cs="宋体"/>
          <w:sz w:val="24"/>
          <w:szCs w:val="24"/>
          <w:highlight w:val="none"/>
        </w:rPr>
        <w:t xml:space="preserve">立约方：</w:t>
      </w:r>
      <w:r>
        <w:rPr>
          <w:rFonts w:cs="宋体"/>
          <w:sz w:val="24"/>
          <w:szCs w:val="24"/>
          <w:highlight w:val="none"/>
          <w:u w:val="single"/>
        </w:rPr>
        <w:t xml:space="preserve">（甲公司全称）</w:t>
      </w:r>
      <w:r/>
    </w:p>
    <w:p>
      <w:pPr>
        <w:pStyle w:val="1175"/>
        <w:ind w:firstLine="800"/>
        <w:shd w:val="clear" w:color="auto"/>
        <w:rPr>
          <w:rFonts w:cs="宋体"/>
          <w:sz w:val="24"/>
          <w:szCs w:val="24"/>
          <w:highlight w:val="none"/>
          <w:u w:val="single"/>
        </w:rPr>
      </w:pPr>
      <w:r>
        <w:rPr>
          <w:rFonts w:cs="宋体"/>
          <w:sz w:val="24"/>
          <w:szCs w:val="24"/>
          <w:highlight w:val="none"/>
          <w:u w:val="single"/>
        </w:rPr>
        <w:t xml:space="preserve">（乙公司全称）</w:t>
      </w:r>
      <w:r/>
    </w:p>
    <w:p>
      <w:pPr>
        <w:pStyle w:val="1175"/>
        <w:ind w:firstLine="800"/>
        <w:shd w:val="clear" w:color="auto"/>
        <w:rPr>
          <w:rFonts w:cs="宋体"/>
          <w:sz w:val="24"/>
          <w:szCs w:val="24"/>
          <w:highlight w:val="none"/>
          <w:u w:val="single"/>
        </w:rPr>
      </w:pPr>
      <w:r>
        <w:rPr>
          <w:rFonts w:cs="宋体"/>
          <w:sz w:val="24"/>
          <w:szCs w:val="24"/>
          <w:highlight w:val="none"/>
          <w:u w:val="single"/>
        </w:rPr>
        <w:t xml:space="preserve">（……公司全称）</w:t>
      </w:r>
      <w:r/>
    </w:p>
    <w:p>
      <w:pPr>
        <w:pStyle w:val="1175"/>
        <w:ind w:firstLine="400"/>
        <w:shd w:val="clear" w:color="auto"/>
        <w:rPr>
          <w:rFonts w:cs="宋体"/>
          <w:sz w:val="24"/>
          <w:szCs w:val="24"/>
          <w:highlight w:val="none"/>
        </w:rPr>
      </w:pPr>
      <w:r>
        <w:rPr>
          <w:rFonts w:cs="宋体"/>
          <w:sz w:val="24"/>
          <w:szCs w:val="24"/>
          <w:highlight w:val="none"/>
          <w:u w:val="single"/>
        </w:rPr>
        <w:t xml:space="preserve">（甲公司全称）、（乙公司全称）、（……公司全称）</w:t>
      </w:r>
      <w:r>
        <w:rPr>
          <w:rFonts w:cs="宋体"/>
          <w:sz w:val="24"/>
          <w:szCs w:val="24"/>
          <w:highlight w:val="none"/>
        </w:rPr>
        <w:t xml:space="preserve">自愿达成分包意向，参加</w:t>
      </w:r>
      <w:r>
        <w:rPr>
          <w:rFonts w:cs="宋体"/>
          <w:sz w:val="24"/>
          <w:szCs w:val="24"/>
          <w:highlight w:val="none"/>
          <w:u w:val="single"/>
        </w:rPr>
        <w:t xml:space="preserve">（采购项目名称）（采购项目编号）</w:t>
      </w:r>
      <w:r>
        <w:rPr>
          <w:rFonts w:cs="宋体"/>
          <w:sz w:val="24"/>
          <w:szCs w:val="24"/>
          <w:highlight w:val="none"/>
        </w:rPr>
        <w:t xml:space="preserve">的响应活动。经各方充分协商一致，就项目的响应和合同实施阶段的有关事务协商一致订立意向如下：</w:t>
      </w:r>
      <w:r/>
    </w:p>
    <w:p>
      <w:pPr>
        <w:pStyle w:val="1175"/>
        <w:ind w:firstLine="400"/>
        <w:shd w:val="clear" w:color="auto"/>
        <w:rPr>
          <w:rFonts w:cs="宋体"/>
          <w:sz w:val="24"/>
          <w:szCs w:val="24"/>
          <w:highlight w:val="none"/>
        </w:rPr>
      </w:pPr>
      <w:r>
        <w:rPr>
          <w:rFonts w:cs="宋体"/>
          <w:sz w:val="24"/>
          <w:szCs w:val="24"/>
          <w:highlight w:val="none"/>
        </w:rPr>
        <w:t xml:space="preserve">一、分包意向各方关系</w:t>
      </w:r>
      <w:r/>
    </w:p>
    <w:p>
      <w:pPr>
        <w:pStyle w:val="1175"/>
        <w:ind w:firstLine="400"/>
        <w:shd w:val="clear" w:color="auto"/>
        <w:rPr>
          <w:rFonts w:cs="宋体"/>
          <w:sz w:val="24"/>
          <w:szCs w:val="24"/>
          <w:highlight w:val="none"/>
        </w:rPr>
      </w:pPr>
      <w:r>
        <w:rPr>
          <w:rFonts w:cs="宋体"/>
          <w:sz w:val="24"/>
          <w:szCs w:val="24"/>
          <w:highlight w:val="none"/>
          <w:u w:val="single"/>
        </w:rPr>
        <w:t xml:space="preserve">（甲公司全称）为投标方、（乙公司全称）、（……公司全称）</w:t>
      </w:r>
      <w:r>
        <w:rPr>
          <w:rFonts w:cs="宋体"/>
          <w:sz w:val="24"/>
          <w:szCs w:val="24"/>
          <w:highlight w:val="none"/>
        </w:rPr>
        <w:t xml:space="preserve">为分包意向供应商，</w:t>
      </w:r>
      <w:r>
        <w:rPr>
          <w:rFonts w:cs="宋体"/>
          <w:sz w:val="24"/>
          <w:szCs w:val="24"/>
          <w:highlight w:val="none"/>
          <w:u w:val="single"/>
        </w:rPr>
        <w:t xml:space="preserve">（甲公司全称）</w:t>
      </w:r>
      <w:r>
        <w:rPr>
          <w:rFonts w:cs="宋体"/>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75"/>
        <w:ind w:firstLine="400"/>
        <w:shd w:val="clear" w:color="auto"/>
        <w:rPr>
          <w:rFonts w:cs="宋体"/>
          <w:sz w:val="24"/>
          <w:szCs w:val="24"/>
          <w:highlight w:val="none"/>
        </w:rPr>
      </w:pPr>
      <w:r>
        <w:rPr>
          <w:rFonts w:cs="宋体"/>
          <w:sz w:val="24"/>
          <w:szCs w:val="24"/>
          <w:highlight w:val="none"/>
        </w:rPr>
        <w:t xml:space="preserve">二、有关事项约定如下：</w:t>
      </w:r>
      <w:r/>
    </w:p>
    <w:p>
      <w:pPr>
        <w:pStyle w:val="1175"/>
        <w:ind w:firstLine="400"/>
        <w:shd w:val="clear" w:color="auto"/>
        <w:rPr>
          <w:rFonts w:cs="宋体"/>
          <w:sz w:val="24"/>
          <w:szCs w:val="24"/>
          <w:highlight w:val="none"/>
        </w:rPr>
      </w:pPr>
      <w:r>
        <w:rPr>
          <w:rFonts w:cs="宋体"/>
          <w:sz w:val="24"/>
          <w:szCs w:val="24"/>
          <w:highlight w:val="none"/>
        </w:rPr>
        <w:t xml:space="preserve">1.如中标，分包供应商分别与</w:t>
      </w:r>
      <w:r>
        <w:rPr>
          <w:rFonts w:cs="宋体"/>
          <w:sz w:val="24"/>
          <w:szCs w:val="24"/>
          <w:highlight w:val="none"/>
          <w:u w:val="single"/>
        </w:rPr>
        <w:t xml:space="preserve">（甲公司全称）</w:t>
      </w:r>
      <w:r>
        <w:rPr>
          <w:rFonts w:cs="宋体"/>
          <w:sz w:val="24"/>
          <w:szCs w:val="24"/>
          <w:highlight w:val="none"/>
        </w:rPr>
        <w:t xml:space="preserve">签订合同书，并就中标项目分包部分向采购人负责有连带的和各自的法律责任；</w:t>
      </w:r>
      <w:r/>
    </w:p>
    <w:p>
      <w:pPr>
        <w:pStyle w:val="1175"/>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1（公司全称）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 （具体分包内容）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75"/>
        <w:ind w:firstLine="400"/>
        <w:shd w:val="clear" w:color="auto"/>
        <w:rPr>
          <w:rFonts w:cs="宋体"/>
          <w:sz w:val="24"/>
          <w:szCs w:val="24"/>
          <w:highlight w:val="none"/>
        </w:rPr>
      </w:pPr>
      <w:r>
        <w:rPr>
          <w:rFonts w:cs="宋体"/>
          <w:sz w:val="24"/>
          <w:szCs w:val="24"/>
          <w:highlight w:val="none"/>
        </w:rPr>
        <w:t xml:space="preserve">3.分包意向供应商</w:t>
      </w:r>
      <w:r>
        <w:rPr>
          <w:rFonts w:cs="宋体"/>
          <w:sz w:val="24"/>
          <w:szCs w:val="24"/>
          <w:highlight w:val="none"/>
          <w:u w:val="single"/>
        </w:rPr>
        <w:t xml:space="preserve">2（公司全称）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75"/>
        <w:ind w:firstLine="400"/>
        <w:shd w:val="clear" w:color="auto"/>
        <w:rPr>
          <w:rFonts w:cs="宋体"/>
          <w:sz w:val="24"/>
          <w:szCs w:val="24"/>
          <w:highlight w:val="none"/>
        </w:rPr>
      </w:pPr>
      <w:r>
        <w:rPr>
          <w:rFonts w:cs="宋体"/>
          <w:sz w:val="24"/>
          <w:szCs w:val="24"/>
          <w:highlight w:val="none"/>
        </w:rPr>
        <w:t xml:space="preserve">三、接受分包的企业与分包企业之间的关系：</w:t>
      </w:r>
      <w:r/>
    </w:p>
    <w:p>
      <w:pPr>
        <w:pStyle w:val="1175"/>
        <w:ind w:firstLine="400"/>
        <w:shd w:val="clear" w:color="auto"/>
        <w:rPr>
          <w:rFonts w:cs="宋体"/>
          <w:sz w:val="24"/>
          <w:szCs w:val="24"/>
          <w:highlight w:val="none"/>
        </w:rPr>
      </w:pPr>
      <w:r>
        <w:rPr>
          <w:rFonts w:cs="宋体"/>
          <w:sz w:val="24"/>
          <w:szCs w:val="24"/>
          <w:highlight w:val="none"/>
        </w:rPr>
        <w:t xml:space="preserve">1.分包意向供应商</w:t>
      </w:r>
      <w:r>
        <w:rPr>
          <w:rFonts w:cs="宋体"/>
          <w:sz w:val="24"/>
          <w:szCs w:val="24"/>
          <w:highlight w:val="none"/>
          <w:u w:val="single"/>
        </w:rPr>
        <w:t xml:space="preserve"> 1（公司全称）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75"/>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 2（公司全称）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75"/>
        <w:ind w:firstLine="400"/>
        <w:shd w:val="clear" w:color="auto"/>
        <w:rPr>
          <w:rFonts w:cs="宋体"/>
          <w:sz w:val="24"/>
          <w:szCs w:val="24"/>
          <w:highlight w:val="none"/>
        </w:rPr>
      </w:pPr>
      <w:r>
        <w:rPr>
          <w:rFonts w:cs="宋体"/>
          <w:sz w:val="24"/>
          <w:szCs w:val="24"/>
          <w:highlight w:val="none"/>
        </w:rPr>
        <w:t xml:space="preserve">四、如因违约过失责任而导致采购人经济损失或被索赔时，</w:t>
      </w:r>
      <w:r>
        <w:rPr>
          <w:rFonts w:cs="宋体"/>
          <w:sz w:val="24"/>
          <w:szCs w:val="24"/>
          <w:highlight w:val="none"/>
          <w:u w:val="single"/>
        </w:rPr>
        <w:t xml:space="preserve">（甲公司全称）</w:t>
      </w:r>
      <w:r>
        <w:rPr>
          <w:rFonts w:cs="宋体"/>
          <w:sz w:val="24"/>
          <w:szCs w:val="24"/>
          <w:highlight w:val="none"/>
        </w:rPr>
        <w:t xml:space="preserve">同意无条件优先清偿采购人的一切债务和经济赔偿。</w:t>
      </w:r>
      <w:r/>
    </w:p>
    <w:p>
      <w:pPr>
        <w:pStyle w:val="1175"/>
        <w:ind w:firstLine="400"/>
        <w:shd w:val="clear" w:color="auto"/>
        <w:rPr>
          <w:rFonts w:cs="宋体"/>
          <w:sz w:val="24"/>
          <w:szCs w:val="24"/>
          <w:highlight w:val="none"/>
        </w:rPr>
      </w:pPr>
      <w:r>
        <w:rPr>
          <w:rFonts w:cs="宋体"/>
          <w:sz w:val="24"/>
          <w:szCs w:val="24"/>
          <w:highlight w:val="none"/>
        </w:rPr>
        <w:t xml:space="preserve">五、如中标，分包意向供应商不得以任何理由提出终止本意向协议。</w:t>
      </w:r>
      <w:r/>
    </w:p>
    <w:p>
      <w:pPr>
        <w:pStyle w:val="1175"/>
        <w:ind w:firstLine="400"/>
        <w:shd w:val="clear" w:color="auto"/>
        <w:rPr>
          <w:rFonts w:cs="宋体"/>
          <w:sz w:val="24"/>
          <w:szCs w:val="24"/>
          <w:highlight w:val="none"/>
        </w:rPr>
      </w:pPr>
      <w:r>
        <w:rPr>
          <w:rFonts w:cs="宋体"/>
          <w:sz w:val="24"/>
          <w:szCs w:val="24"/>
          <w:highlight w:val="none"/>
        </w:rPr>
        <w:t xml:space="preserve">六、本意向书在自签署之日起生效，有效期内有效，如获中标资格，有效期延续至合同履行完毕之日。</w:t>
      </w:r>
      <w:r/>
    </w:p>
    <w:p>
      <w:pPr>
        <w:pStyle w:val="1175"/>
        <w:ind w:firstLine="400"/>
        <w:shd w:val="clear" w:color="auto"/>
        <w:rPr>
          <w:rFonts w:cs="宋体"/>
          <w:sz w:val="24"/>
          <w:szCs w:val="24"/>
          <w:highlight w:val="none"/>
        </w:rPr>
      </w:pPr>
      <w:r>
        <w:rPr>
          <w:rFonts w:cs="宋体"/>
          <w:sz w:val="24"/>
          <w:szCs w:val="24"/>
          <w:highlight w:val="none"/>
        </w:rPr>
        <w:t xml:space="preserve">七、本意向书正本一式</w:t>
      </w:r>
      <w:r>
        <w:rPr>
          <w:rFonts w:cs="宋体"/>
          <w:sz w:val="24"/>
          <w:szCs w:val="24"/>
          <w:highlight w:val="none"/>
          <w:u w:val="single"/>
        </w:rPr>
        <w:t xml:space="preserve">   </w:t>
      </w:r>
      <w:r>
        <w:rPr>
          <w:rFonts w:cs="宋体"/>
          <w:sz w:val="24"/>
          <w:szCs w:val="24"/>
          <w:highlight w:val="none"/>
        </w:rPr>
        <w:t xml:space="preserve">份，随投标文件装订</w:t>
      </w:r>
      <w:r>
        <w:rPr>
          <w:rFonts w:cs="宋体"/>
          <w:sz w:val="24"/>
          <w:szCs w:val="24"/>
          <w:highlight w:val="none"/>
          <w:u w:val="single"/>
        </w:rPr>
        <w:t xml:space="preserve">   </w:t>
      </w:r>
      <w:r>
        <w:rPr>
          <w:rFonts w:cs="宋体"/>
          <w:sz w:val="24"/>
          <w:szCs w:val="24"/>
          <w:highlight w:val="none"/>
        </w:rPr>
        <w:t xml:space="preserve">份，（甲公司全称）及各分包意向供应商各一份。</w:t>
      </w:r>
      <w:r/>
    </w:p>
    <w:p>
      <w:pPr>
        <w:pStyle w:val="1175"/>
        <w:shd w:val="clear" w:color="auto"/>
        <w:rPr>
          <w:rFonts w:cs="宋体"/>
          <w:sz w:val="24"/>
          <w:szCs w:val="24"/>
          <w:highlight w:val="none"/>
        </w:rPr>
      </w:pPr>
      <w:r>
        <w:rPr>
          <w:rFonts w:cs="宋体"/>
          <w:sz w:val="24"/>
          <w:szCs w:val="24"/>
          <w:highlight w:val="none"/>
        </w:rPr>
        <w:t xml:space="preserve">甲公司全称：（盖章）</w:t>
      </w:r>
      <w:r/>
    </w:p>
    <w:p>
      <w:pPr>
        <w:pStyle w:val="1175"/>
        <w:shd w:val="clear" w:color="auto"/>
        <w:rPr>
          <w:rFonts w:cs="宋体"/>
          <w:sz w:val="24"/>
          <w:szCs w:val="24"/>
          <w:highlight w:val="none"/>
        </w:rPr>
      </w:pPr>
      <w:r>
        <w:rPr>
          <w:rFonts w:cs="宋体"/>
          <w:sz w:val="24"/>
          <w:szCs w:val="24"/>
          <w:highlight w:val="none"/>
        </w:rPr>
        <w:t xml:space="preserve">法定代表人（签字或盖章）</w:t>
      </w:r>
      <w:r/>
    </w:p>
    <w:p>
      <w:pPr>
        <w:pStyle w:val="1175"/>
        <w:shd w:val="clear" w:color="auto"/>
        <w:rPr>
          <w:rFonts w:cs="宋体"/>
          <w:sz w:val="24"/>
          <w:szCs w:val="24"/>
          <w:highlight w:val="none"/>
        </w:rPr>
      </w:pPr>
      <w:r>
        <w:rPr>
          <w:rFonts w:cs="宋体"/>
          <w:sz w:val="24"/>
          <w:szCs w:val="24"/>
          <w:highlight w:val="none"/>
        </w:rPr>
        <w:t xml:space="preserve"> 年 月 日</w:t>
      </w:r>
      <w:r/>
    </w:p>
    <w:p>
      <w:pPr>
        <w:pStyle w:val="1175"/>
        <w:ind w:firstLine="400"/>
        <w:shd w:val="clear" w:color="auto"/>
        <w:rPr>
          <w:rFonts w:cs="宋体"/>
          <w:sz w:val="24"/>
          <w:szCs w:val="24"/>
          <w:highlight w:val="none"/>
        </w:rPr>
      </w:pPr>
      <w:r>
        <w:rPr>
          <w:rFonts w:cs="宋体"/>
          <w:sz w:val="24"/>
          <w:szCs w:val="24"/>
          <w:highlight w:val="none"/>
        </w:rPr>
        <w:t xml:space="preserve">乙公司全称：（盖章）</w:t>
      </w:r>
      <w:r/>
    </w:p>
    <w:p>
      <w:pPr>
        <w:pStyle w:val="1175"/>
        <w:ind w:firstLine="400"/>
        <w:shd w:val="clear" w:color="auto"/>
        <w:rPr>
          <w:rFonts w:cs="宋体"/>
          <w:sz w:val="24"/>
          <w:szCs w:val="24"/>
          <w:highlight w:val="none"/>
        </w:rPr>
      </w:pPr>
      <w:r>
        <w:rPr>
          <w:rFonts w:cs="宋体"/>
          <w:sz w:val="24"/>
          <w:szCs w:val="24"/>
          <w:highlight w:val="none"/>
        </w:rPr>
        <w:t xml:space="preserve">法定代表人（签字或盖章） </w:t>
      </w:r>
      <w:r/>
    </w:p>
    <w:p>
      <w:pPr>
        <w:pStyle w:val="1175"/>
        <w:ind w:firstLine="400"/>
        <w:shd w:val="clear" w:color="auto"/>
        <w:rPr>
          <w:rFonts w:cs="宋体"/>
          <w:sz w:val="24"/>
          <w:szCs w:val="24"/>
          <w:highlight w:val="none"/>
        </w:rPr>
      </w:pPr>
      <w:r>
        <w:rPr>
          <w:rFonts w:cs="宋体"/>
          <w:sz w:val="24"/>
          <w:szCs w:val="24"/>
          <w:highlight w:val="none"/>
        </w:rPr>
        <w:t xml:space="preserve">年 月 日</w:t>
      </w:r>
      <w:r/>
    </w:p>
    <w:p>
      <w:pPr>
        <w:pStyle w:val="1175"/>
        <w:ind w:firstLine="400"/>
        <w:shd w:val="clear" w:color="auto"/>
        <w:rPr>
          <w:rFonts w:cs="宋体"/>
          <w:sz w:val="24"/>
          <w:szCs w:val="24"/>
          <w:highlight w:val="none"/>
        </w:rPr>
      </w:pPr>
      <w:r>
        <w:rPr>
          <w:rFonts w:cs="宋体"/>
          <w:sz w:val="24"/>
          <w:szCs w:val="24"/>
          <w:highlight w:val="none"/>
        </w:rPr>
      </w:r>
      <w:r/>
    </w:p>
    <w:p>
      <w:pPr>
        <w:pStyle w:val="1175"/>
        <w:ind w:firstLine="400"/>
        <w:shd w:val="clear" w:color="auto"/>
        <w:rPr>
          <w:rFonts w:cs="宋体"/>
          <w:sz w:val="24"/>
          <w:szCs w:val="24"/>
          <w:highlight w:val="none"/>
        </w:rPr>
      </w:pPr>
      <w:r>
        <w:rPr>
          <w:rFonts w:cs="宋体"/>
          <w:sz w:val="24"/>
          <w:szCs w:val="24"/>
          <w:highlight w:val="none"/>
        </w:rPr>
        <w:t xml:space="preserve">……公司全称（盖章）</w:t>
      </w:r>
      <w:r/>
    </w:p>
    <w:p>
      <w:pPr>
        <w:pStyle w:val="1175"/>
        <w:ind w:firstLine="400"/>
        <w:shd w:val="clear" w:color="auto"/>
        <w:rPr>
          <w:rFonts w:cs="宋体"/>
          <w:sz w:val="24"/>
          <w:szCs w:val="24"/>
          <w:highlight w:val="none"/>
        </w:rPr>
      </w:pPr>
      <w:r>
        <w:rPr>
          <w:rFonts w:cs="宋体"/>
          <w:sz w:val="24"/>
          <w:szCs w:val="24"/>
          <w:highlight w:val="none"/>
        </w:rPr>
        <w:t xml:space="preserve">法定代表人：（签字或盖章）</w:t>
      </w:r>
      <w:r/>
    </w:p>
    <w:p>
      <w:pPr>
        <w:pStyle w:val="1175"/>
        <w:ind w:firstLine="400"/>
        <w:shd w:val="clear" w:color="auto"/>
        <w:rPr>
          <w:rFonts w:cs="宋体"/>
          <w:sz w:val="24"/>
          <w:szCs w:val="24"/>
          <w:highlight w:val="none"/>
        </w:rPr>
      </w:pPr>
      <w:r>
        <w:rPr>
          <w:rFonts w:cs="宋体"/>
          <w:sz w:val="24"/>
          <w:szCs w:val="24"/>
          <w:highlight w:val="none"/>
        </w:rPr>
        <w:t xml:space="preserve"> 年 月 日 </w:t>
      </w:r>
      <w:r/>
    </w:p>
    <w:p>
      <w:pPr>
        <w:pStyle w:val="1175"/>
        <w:ind w:firstLine="400"/>
        <w:shd w:val="clear" w:color="auto"/>
        <w:rPr>
          <w:rFonts w:cs="宋体"/>
          <w:sz w:val="24"/>
          <w:szCs w:val="24"/>
          <w:highlight w:val="none"/>
        </w:rPr>
      </w:pPr>
      <w:r>
        <w:rPr>
          <w:rFonts w:cs="宋体"/>
          <w:sz w:val="24"/>
          <w:szCs w:val="24"/>
          <w:highlight w:val="none"/>
        </w:rPr>
        <w:t xml:space="preserve"> </w:t>
      </w:r>
      <w:r/>
    </w:p>
    <w:p>
      <w:pPr>
        <w:pStyle w:val="1175"/>
        <w:ind w:firstLine="402"/>
        <w:shd w:val="clear" w:color="auto"/>
        <w:rPr>
          <w:rFonts w:cs="宋体"/>
          <w:b/>
          <w:bCs/>
          <w:sz w:val="24"/>
          <w:szCs w:val="24"/>
          <w:highlight w:val="none"/>
        </w:rPr>
      </w:pPr>
      <w:r>
        <w:rPr>
          <w:rFonts w:cs="宋体"/>
          <w:b/>
          <w:bCs/>
          <w:sz w:val="24"/>
          <w:szCs w:val="24"/>
          <w:highlight w:val="none"/>
        </w:rPr>
        <w:t xml:space="preserve">注：</w:t>
      </w:r>
      <w:r/>
    </w:p>
    <w:p>
      <w:pPr>
        <w:pStyle w:val="1175"/>
        <w:ind w:firstLine="402"/>
        <w:shd w:val="clear" w:color="auto"/>
        <w:rPr>
          <w:rFonts w:cs="宋体"/>
          <w:b/>
          <w:bCs/>
          <w:sz w:val="24"/>
          <w:szCs w:val="24"/>
          <w:highlight w:val="none"/>
        </w:rPr>
      </w:pPr>
      <w:r>
        <w:rPr>
          <w:rFonts w:cs="宋体"/>
          <w:b/>
          <w:bCs/>
          <w:sz w:val="24"/>
          <w:szCs w:val="24"/>
          <w:highlight w:val="none"/>
        </w:rPr>
        <w:t xml:space="preserve">1．各方成员应在本意向书上共同盖章确认。 </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t xml:space="preserve">2.本意向书内容将作为签订合同的附件之一。</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89"/>
        <w:shd w:val="clear" w:color="auto"/>
        <w:rPr>
          <w:rFonts w:hint="eastAsia" w:ascii="宋体" w:hAnsi="宋体" w:cs="宋体"/>
          <w:b/>
          <w:sz w:val="24"/>
          <w:szCs w:val="24"/>
          <w:highlight w:val="none"/>
        </w:rPr>
      </w:pPr>
      <w:r>
        <w:rPr>
          <w:rFonts w:hint="eastAsia" w:ascii="宋体" w:hAnsi="宋体" w:cs="宋体"/>
          <w:b/>
          <w:sz w:val="24"/>
          <w:szCs w:val="24"/>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ind w:left="0" w:firstLine="0"/>
        <w:shd w:val="clear" w:color="auto"/>
        <w:rPr>
          <w:rFonts w:hint="eastAsia" w:ascii="宋体" w:hAnsi="宋体" w:eastAsia="宋体" w:cs="宋体"/>
          <w:b/>
          <w:highlight w:val="none"/>
        </w:rPr>
      </w:pPr>
      <w:r>
        <w:rPr>
          <w:rFonts w:hint="eastAsia" w:ascii="宋体" w:hAnsi="宋体" w:eastAsia="宋体" w:cs="宋体"/>
          <w:b/>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pStyle w:val="1209"/>
        <w:shd w:val="clear" w:color="auto"/>
        <w:rPr>
          <w:rFonts w:hint="eastAsia" w:ascii="宋体" w:hAnsi="宋体" w:eastAsia="宋体" w:cs="宋体"/>
          <w:b/>
          <w:color w:val="auto"/>
          <w:sz w:val="24"/>
          <w:highlight w:val="none"/>
        </w:rPr>
        <w:outlineLvl w:val="1"/>
      </w:pPr>
      <w:r/>
      <w:bookmarkStart w:id="126"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、项目组人员</w:t>
      </w:r>
      <w:bookmarkEnd w:id="126"/>
      <w:r/>
      <w:r/>
    </w:p>
    <w:p>
      <w:pPr>
        <w:pStyle w:val="1210"/>
        <w:jc w:val="cente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049"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1116"/>
        </w:trPr>
        <w:tc>
          <w:tcPr>
            <w:gridSpan w:val="2"/>
            <w:tcW w:w="1966" w:type="dxa"/>
            <w:vAlign w:val="center"/>
            <w:textDirection w:val="lrTb"/>
            <w:noWrap/>
          </w:tcPr>
          <w:p>
            <w:pPr>
              <w:pStyle w:val="1211"/>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211"/>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211"/>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211"/>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211"/>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211"/>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211"/>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211"/>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211"/>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212"/>
        <w:ind w:firstLine="398"/>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212"/>
        <w:ind w:firstLine="879"/>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3"/>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213"/>
        <w:jc w:val="right"/>
        <w:spacing w:line="560" w:lineRule="exact"/>
        <w:shd w:val="clear" w:color="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210"/>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1210"/>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1210"/>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p>
      <w:pPr>
        <w:pStyle w:val="1213"/>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8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21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213"/>
        <w:ind w:firstLine="398"/>
        <w:spacing w:line="46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213"/>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3"/>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3"/>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210"/>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4"/>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27"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、供应商承担类似项目业绩一览表</w:t>
      </w:r>
      <w:bookmarkEnd w:id="127"/>
      <w:r/>
      <w:r/>
    </w:p>
    <w:p>
      <w:pPr>
        <w:pStyle w:val="1215"/>
        <w:jc w:val="center"/>
        <w:spacing w:line="600" w:lineRule="exact"/>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业绩资料</w:t>
      </w:r>
      <w:r/>
    </w:p>
    <w:tbl>
      <w:tblPr>
        <w:tblStyle w:val="78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21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请按</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215"/>
              <w:ind w:firstLine="210"/>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215"/>
              <w:jc w:val="both"/>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756"/>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215"/>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28"/>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128"/>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tcPr>
          <w:p>
            <w:pPr>
              <w:pStyle w:val="1128"/>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tcPr>
          <w:p>
            <w:pPr>
              <w:pStyle w:val="1128"/>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tcPr>
          <w:p>
            <w:pPr>
              <w:pStyle w:val="1128"/>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578"/>
        </w:trPr>
        <w:tc>
          <w:tcPr>
            <w:tcW w:w="1229" w:type="dxa"/>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08"/>
        </w:trPr>
        <w:tc>
          <w:tcPr>
            <w:tcW w:w="1229" w:type="dxa"/>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32"/>
        </w:trPr>
        <w:tc>
          <w:tcPr>
            <w:tcW w:w="1229" w:type="dxa"/>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613"/>
        </w:trPr>
        <w:tc>
          <w:tcPr>
            <w:tcW w:w="1229" w:type="dxa"/>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28"/>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28"/>
        <w:ind w:firstLine="482"/>
        <w:spacing w:line="50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shd w:val="clear" w:color="auto"/>
        <w:rPr>
          <w:rFonts w:hint="eastAsia" w:ascii="宋体" w:hAnsi="宋体" w:eastAsia="宋体" w:cs="宋体"/>
          <w:b/>
          <w:highlight w:val="none"/>
        </w:rPr>
      </w:pPr>
      <w:r>
        <w:rPr>
          <w:rFonts w:hint="eastAsia" w:ascii="宋体" w:hAnsi="宋体" w:eastAsia="宋体" w:cs="宋体"/>
          <w:b/>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93"/>
        <w:shd w:val="clear" w:color="auto"/>
        <w:rPr>
          <w:rFonts w:hint="eastAsia" w:ascii="宋体" w:hAnsi="宋体" w:eastAsia="宋体" w:cs="宋体"/>
          <w:highlight w:val="none"/>
        </w:rPr>
      </w:pPr>
      <w:r>
        <w:rPr>
          <w:rFonts w:hint="eastAsia" w:ascii="宋体" w:hAnsi="宋体" w:eastAsia="宋体" w:cs="宋体"/>
          <w:highlight w:val="none"/>
        </w:rPr>
      </w:r>
      <w:r/>
    </w:p>
    <w:p>
      <w:pPr>
        <w:pStyle w:val="789"/>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93"/>
        <w:shd w:val="clear" w:color="auto"/>
        <w:rPr>
          <w:rFonts w:hint="eastAsia" w:ascii="宋体" w:hAnsi="宋体" w:eastAsia="宋体" w:cs="宋体"/>
          <w:highlight w:val="none"/>
        </w:rPr>
      </w:pPr>
      <w:r>
        <w:rPr>
          <w:rFonts w:hint="eastAsia" w:ascii="宋体" w:hAnsi="宋体" w:eastAsia="宋体" w:cs="宋体"/>
          <w:highlight w:val="none"/>
        </w:rPr>
      </w:r>
      <w:r/>
    </w:p>
    <w:p>
      <w:pPr>
        <w:pStyle w:val="789"/>
        <w:shd w:val="clear" w:color="auto"/>
        <w:rPr>
          <w:rFonts w:hint="eastAsia" w:ascii="宋体" w:hAnsi="宋体" w:cs="宋体"/>
          <w:highlight w:val="none"/>
        </w:rPr>
      </w:pPr>
      <w:r>
        <w:rPr>
          <w:rFonts w:hint="eastAsia" w:ascii="宋体" w:hAnsi="宋体" w:cs="宋体"/>
          <w:highlight w:val="none"/>
        </w:rPr>
      </w:r>
      <w:r/>
    </w:p>
    <w:p>
      <w:pPr>
        <w:shd w:val="clear" w:color="auto"/>
        <w:rPr>
          <w:highlight w:val="none"/>
        </w:rPr>
      </w:pPr>
      <w:r>
        <w:rPr>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93"/>
        <w:shd w:val="clear" w:color="auto"/>
        <w:rPr>
          <w:rFonts w:hint="eastAsia" w:ascii="宋体" w:hAnsi="宋体" w:eastAsia="宋体" w:cs="宋体"/>
          <w:highlight w:val="none"/>
        </w:rPr>
      </w:pPr>
      <w:r>
        <w:rPr>
          <w:rFonts w:hint="eastAsia" w:ascii="宋体" w:hAnsi="宋体" w:eastAsia="宋体" w:cs="宋体"/>
          <w:highlight w:val="none"/>
        </w:rPr>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8" w:name="_Toc5358"/>
      <w:r/>
      <w:bookmarkStart w:id="129" w:name="_Toc5588"/>
      <w:r>
        <w:rPr>
          <w:rFonts w:hint="eastAsia" w:ascii="宋体" w:hAnsi="宋体" w:cs="宋体"/>
          <w:b/>
          <w:sz w:val="32"/>
          <w:highlight w:val="none"/>
        </w:rPr>
        <w:t xml:space="preserve">质疑函范本</w:t>
      </w:r>
      <w:bookmarkEnd w:id="128"/>
      <w:r/>
      <w:bookmarkEnd w:id="129"/>
      <w:r/>
      <w:r/>
    </w:p>
    <w:p>
      <w:pPr>
        <w:spacing w:before="290"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0" w:name="_Toc9522"/>
      <w:r/>
      <w:bookmarkStart w:id="131" w:name="_Toc4190"/>
      <w:r>
        <w:rPr>
          <w:rFonts w:hint="eastAsia" w:ascii="宋体" w:hAnsi="宋体" w:cs="宋体"/>
          <w:sz w:val="24"/>
          <w:highlight w:val="none"/>
        </w:rPr>
        <w:t xml:space="preserve">一、质疑供应商基本信息</w:t>
      </w:r>
      <w:bookmarkEnd w:id="130"/>
      <w:r/>
      <w:bookmarkEnd w:id="131"/>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质疑供应商：</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授权代表：</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 </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2" w:name="_Toc17229"/>
      <w:r/>
      <w:bookmarkStart w:id="133" w:name="_Toc2705"/>
      <w:r>
        <w:rPr>
          <w:rFonts w:hint="eastAsia" w:ascii="宋体" w:hAnsi="宋体" w:cs="宋体"/>
          <w:sz w:val="24"/>
          <w:highlight w:val="none"/>
        </w:rPr>
        <w:t xml:space="preserve">二、质疑项目基本情况</w:t>
      </w:r>
      <w:bookmarkEnd w:id="132"/>
      <w:r/>
      <w:bookmarkEnd w:id="133"/>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质疑项目的编号：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包号：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采购文件获取日期：</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4" w:name="_Toc9698"/>
      <w:r/>
      <w:bookmarkStart w:id="135" w:name="_Toc16715"/>
      <w:r>
        <w:rPr>
          <w:rFonts w:hint="eastAsia" w:ascii="宋体" w:hAnsi="宋体" w:cs="宋体"/>
          <w:sz w:val="24"/>
          <w:highlight w:val="none"/>
        </w:rPr>
        <w:t xml:space="preserve">三、质疑事项具体内容</w:t>
      </w:r>
      <w:bookmarkEnd w:id="134"/>
      <w:r/>
      <w:bookmarkEnd w:id="135"/>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质疑事项1：</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事实依据：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法律依据：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质疑事项2</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6" w:name="_Toc18340"/>
      <w:r/>
      <w:bookmarkStart w:id="137" w:name="_Toc2000"/>
      <w:r>
        <w:rPr>
          <w:rFonts w:hint="eastAsia" w:ascii="宋体" w:hAnsi="宋体" w:cs="宋体"/>
          <w:sz w:val="24"/>
          <w:highlight w:val="none"/>
        </w:rPr>
        <w:t xml:space="preserve">四、与质疑事项相关的质疑请求</w:t>
      </w:r>
      <w:bookmarkEnd w:id="136"/>
      <w:r/>
      <w:bookmarkEnd w:id="137"/>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请求：</w:t>
      </w:r>
      <w:r>
        <w:rPr>
          <w:rFonts w:hint="eastAsia" w:ascii="宋体" w:hAnsi="宋体" w:cs="宋体"/>
          <w:sz w:val="24"/>
          <w:highlight w:val="none"/>
          <w:u w:val="single"/>
        </w:rPr>
        <w:t xml:space="preserve">                          </w:t>
      </w:r>
      <w:r/>
    </w:p>
    <w:p>
      <w:pPr>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签字(签章)：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公章：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质疑函制作说明：</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1.供应商提出质疑时，应提交质疑函和必要的证明材料。</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erReference w:type="first" r:id="rId13"/>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0"/>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2"/>
                            <w:rPr>
                              <w:rStyle w:val="1103"/>
                              <w:rFonts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Style w:val="1103"/>
                        <w:rFonts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103"/>
      </w:rPr>
      <w:framePr w:wrap="around" w:vAnchor="text" w:hAnchor="margin" w:xAlign="center" w:y="1"/>
    </w:pPr>
    <w:r>
      <w:fldChar w:fldCharType="begin"/>
    </w:r>
    <w:r>
      <w:rPr>
        <w:rStyle w:val="1103"/>
      </w:rPr>
      <w:instrText xml:space="preserve">PAGE  </w:instrText>
    </w:r>
    <w:r>
      <w:fldChar w:fldCharType="separate"/>
    </w:r>
    <w:r>
      <w:rPr>
        <w:rStyle w:val="1103"/>
      </w:rPr>
      <w:t xml:space="preserve">1</w:t>
    </w:r>
    <w:r>
      <w:fldChar w:fldCharType="end"/>
    </w:r>
    <w:r/>
  </w:p>
  <w:p>
    <w:pPr>
      <w:pStyle w:val="10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59"/>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8"/>
      <w:isLgl w:val="false"/>
      <w:suff w:val="nothing"/>
      <w:lvlText w:val=""/>
      <w:lvlJc w:val="left"/>
      <w:pPr>
        <w:ind w:left="0" w:firstLine="0"/>
      </w:pPr>
      <w:rPr>
        <w:rFonts w:hint="eastAsia"/>
      </w:rPr>
    </w:lvl>
    <w:lvl w:ilvl="6">
      <w:start w:val="1"/>
      <w:numFmt w:val="decimal"/>
      <w:pStyle w:val="1039"/>
      <w:isLgl w:val="false"/>
      <w:suff w:val="nothing"/>
      <w:lvlText w:val=""/>
      <w:lvlJc w:val="left"/>
      <w:pPr>
        <w:ind w:left="0" w:firstLine="0"/>
      </w:pPr>
      <w:rPr>
        <w:rFonts w:hint="eastAsia"/>
      </w:rPr>
    </w:lvl>
    <w:lvl w:ilvl="7">
      <w:start w:val="1"/>
      <w:numFmt w:val="decimal"/>
      <w:pStyle w:val="1040"/>
      <w:isLgl w:val="false"/>
      <w:suff w:val="nothing"/>
      <w:lvlText w:val=""/>
      <w:lvlJc w:val="left"/>
      <w:pPr>
        <w:ind w:left="0" w:firstLine="0"/>
      </w:pPr>
      <w:rPr>
        <w:rFonts w:hint="eastAsia"/>
      </w:rPr>
    </w:lvl>
    <w:lvl w:ilvl="8">
      <w:start w:val="1"/>
      <w:numFmt w:val="decimal"/>
      <w:pStyle w:val="1041"/>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05"/>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51"/>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5"/>
  </w:num>
  <w:num w:numId="4">
    <w:abstractNumId w:val="2"/>
  </w:num>
  <w:num w:numId="5">
    <w:abstractNumId w:val="17"/>
  </w:num>
  <w:num w:numId="6">
    <w:abstractNumId w:val="10"/>
  </w:num>
  <w:num w:numId="7">
    <w:abstractNumId w:val="13"/>
  </w:num>
  <w:num w:numId="8">
    <w:abstractNumId w:val="16"/>
  </w:num>
  <w:num w:numId="9">
    <w:abstractNumId w:val="1"/>
  </w:num>
  <w:num w:numId="10">
    <w:abstractNumId w:val="12"/>
  </w:num>
  <w:num w:numId="11">
    <w:abstractNumId w:val="4"/>
  </w:num>
  <w:num w:numId="12">
    <w:abstractNumId w:val="5"/>
  </w:num>
  <w:num w:numId="13">
    <w:abstractNumId w:val="11"/>
  </w:num>
  <w:num w:numId="14">
    <w:abstractNumId w:val="7"/>
  </w:num>
  <w:num w:numId="15">
    <w:abstractNumId w:val="14"/>
  </w:num>
  <w:num w:numId="16">
    <w:abstractNumId w:val="6"/>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118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8">
    <w:name w:val="Heading 1"/>
    <w:basedOn w:val="777"/>
    <w:next w:val="777"/>
    <w:link w:val="889"/>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89"/>
    <w:link w:val="890"/>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91"/>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92"/>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93"/>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94"/>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96"/>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97"/>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Normal Indent"/>
    <w:basedOn w:val="777"/>
    <w:next w:val="777"/>
    <w:uiPriority w:val="99"/>
    <w:qFormat/>
    <w:pPr>
      <w:ind w:firstLine="420"/>
    </w:pPr>
  </w:style>
  <w:style w:type="paragraph" w:styleId="790">
    <w:name w:val="toc 7"/>
    <w:basedOn w:val="777"/>
    <w:next w:val="777"/>
    <w:uiPriority w:val="39"/>
    <w:unhideWhenUsed/>
    <w:qFormat/>
    <w:pPr>
      <w:ind w:left="1701"/>
      <w:spacing w:after="57"/>
    </w:pPr>
  </w:style>
  <w:style w:type="paragraph" w:styleId="791">
    <w:name w:val="Caption"/>
    <w:basedOn w:val="777"/>
    <w:next w:val="777"/>
    <w:uiPriority w:val="35"/>
    <w:unhideWhenUsed/>
    <w:qFormat/>
    <w:pPr>
      <w:spacing w:line="276" w:lineRule="auto"/>
    </w:pPr>
    <w:rPr>
      <w:b/>
      <w:bCs/>
      <w:color w:val="4f81bd"/>
      <w:sz w:val="18"/>
      <w:szCs w:val="18"/>
    </w:rPr>
  </w:style>
  <w:style w:type="paragraph" w:styleId="792">
    <w:name w:val="annotation text"/>
    <w:basedOn w:val="777"/>
    <w:uiPriority w:val="0"/>
    <w:unhideWhenUsed/>
    <w:qFormat/>
    <w:pPr>
      <w:jc w:val="left"/>
    </w:pPr>
  </w:style>
  <w:style w:type="paragraph" w:styleId="793">
    <w:name w:val="Body Text"/>
    <w:basedOn w:val="777"/>
    <w:next w:val="789"/>
    <w:uiPriority w:val="0"/>
    <w:qFormat/>
    <w:pPr>
      <w:spacing w:line="60" w:lineRule="auto"/>
    </w:pPr>
    <w:rPr>
      <w:rFonts w:ascii="仿宋_GB2312" w:eastAsia="仿宋_GB2312"/>
      <w:sz w:val="32"/>
    </w:rPr>
  </w:style>
  <w:style w:type="paragraph" w:styleId="794">
    <w:name w:val="Body Text Indent"/>
    <w:basedOn w:val="777"/>
    <w:uiPriority w:val="0"/>
    <w:qFormat/>
    <w:pPr>
      <w:ind w:firstLine="225"/>
    </w:pPr>
    <w:rPr>
      <w:rFonts w:ascii="仿宋_GB2312" w:eastAsia="仿宋_GB2312"/>
      <w:sz w:val="32"/>
    </w:rPr>
  </w:style>
  <w:style w:type="paragraph" w:styleId="795">
    <w:name w:val="toc 5"/>
    <w:basedOn w:val="777"/>
    <w:next w:val="777"/>
    <w:uiPriority w:val="39"/>
    <w:unhideWhenUsed/>
    <w:qFormat/>
    <w:pPr>
      <w:ind w:left="1134"/>
      <w:spacing w:after="57"/>
    </w:pPr>
  </w:style>
  <w:style w:type="paragraph" w:styleId="796">
    <w:name w:val="toc 3"/>
    <w:basedOn w:val="777"/>
    <w:next w:val="777"/>
    <w:uiPriority w:val="39"/>
    <w:unhideWhenUsed/>
    <w:qFormat/>
    <w:pPr>
      <w:ind w:left="567"/>
      <w:spacing w:after="57"/>
    </w:pPr>
  </w:style>
  <w:style w:type="paragraph" w:styleId="797">
    <w:name w:val="Plain Text"/>
    <w:basedOn w:val="777"/>
    <w:next w:val="777"/>
    <w:uiPriority w:val="0"/>
    <w:qFormat/>
    <w:rPr>
      <w:rFonts w:ascii="宋体"/>
    </w:rPr>
  </w:style>
  <w:style w:type="paragraph" w:styleId="798">
    <w:name w:val="toc 8"/>
    <w:basedOn w:val="777"/>
    <w:next w:val="777"/>
    <w:uiPriority w:val="39"/>
    <w:unhideWhenUsed/>
    <w:qFormat/>
    <w:pPr>
      <w:ind w:left="1984"/>
      <w:spacing w:after="57"/>
    </w:pPr>
  </w:style>
  <w:style w:type="paragraph" w:styleId="799">
    <w:name w:val="endnote text"/>
    <w:basedOn w:val="777"/>
    <w:link w:val="1035"/>
    <w:uiPriority w:val="99"/>
    <w:unhideWhenUsed/>
    <w:qFormat/>
    <w:rPr>
      <w:sz w:val="20"/>
    </w:rPr>
  </w:style>
  <w:style w:type="paragraph" w:styleId="800">
    <w:name w:val="Footer"/>
    <w:basedOn w:val="777"/>
    <w:link w:val="908"/>
    <w:uiPriority w:val="99"/>
    <w:unhideWhenUsed/>
    <w:qFormat/>
    <w:pPr>
      <w:tabs>
        <w:tab w:val="center" w:pos="7143" w:leader="none"/>
        <w:tab w:val="right" w:pos="14287" w:leader="none"/>
      </w:tabs>
    </w:pPr>
  </w:style>
  <w:style w:type="paragraph" w:styleId="801">
    <w:name w:val="Header"/>
    <w:basedOn w:val="777"/>
    <w:link w:val="906"/>
    <w:uiPriority w:val="99"/>
    <w:unhideWhenUsed/>
    <w:qFormat/>
    <w:pPr>
      <w:tabs>
        <w:tab w:val="center" w:pos="7143" w:leader="none"/>
        <w:tab w:val="right" w:pos="14287" w:leader="none"/>
      </w:tabs>
    </w:pPr>
  </w:style>
  <w:style w:type="paragraph" w:styleId="802">
    <w:name w:val="toc 1"/>
    <w:basedOn w:val="777"/>
    <w:next w:val="777"/>
    <w:uiPriority w:val="39"/>
    <w:unhideWhenUsed/>
    <w:qFormat/>
    <w:pPr>
      <w:spacing w:after="57"/>
    </w:pPr>
  </w:style>
  <w:style w:type="paragraph" w:styleId="803">
    <w:name w:val="toc 4"/>
    <w:basedOn w:val="777"/>
    <w:next w:val="777"/>
    <w:uiPriority w:val="39"/>
    <w:unhideWhenUsed/>
    <w:qFormat/>
    <w:pPr>
      <w:ind w:left="850"/>
      <w:spacing w:after="57"/>
    </w:pPr>
  </w:style>
  <w:style w:type="paragraph" w:styleId="804">
    <w:name w:val="Subtitle"/>
    <w:basedOn w:val="777"/>
    <w:next w:val="777"/>
    <w:link w:val="901"/>
    <w:uiPriority w:val="11"/>
    <w:qFormat/>
    <w:pPr>
      <w:spacing w:before="200" w:after="200"/>
    </w:pPr>
    <w:rPr>
      <w:sz w:val="24"/>
      <w:szCs w:val="24"/>
    </w:rPr>
  </w:style>
  <w:style w:type="paragraph" w:styleId="805">
    <w:name w:val="List Number 5"/>
    <w:basedOn w:val="777"/>
    <w:uiPriority w:val="99"/>
    <w:semiHidden/>
    <w:unhideWhenUsed/>
    <w:qFormat/>
    <w:pPr>
      <w:numPr>
        <w:ilvl w:val="0"/>
        <w:numId w:val="1"/>
      </w:numPr>
    </w:pPr>
  </w:style>
  <w:style w:type="paragraph" w:styleId="806">
    <w:name w:val="footnote text"/>
    <w:basedOn w:val="777"/>
    <w:link w:val="1034"/>
    <w:uiPriority w:val="99"/>
    <w:unhideWhenUsed/>
    <w:qFormat/>
    <w:pPr>
      <w:spacing w:after="40"/>
    </w:pPr>
    <w:rPr>
      <w:sz w:val="18"/>
    </w:rPr>
  </w:style>
  <w:style w:type="paragraph" w:styleId="807">
    <w:name w:val="toc 6"/>
    <w:basedOn w:val="777"/>
    <w:next w:val="777"/>
    <w:uiPriority w:val="39"/>
    <w:unhideWhenUsed/>
    <w:qFormat/>
    <w:pPr>
      <w:ind w:left="1417"/>
      <w:spacing w:after="57"/>
    </w:pPr>
  </w:style>
  <w:style w:type="paragraph" w:styleId="808">
    <w:name w:val="table of figures"/>
    <w:basedOn w:val="777"/>
    <w:next w:val="777"/>
    <w:uiPriority w:val="99"/>
    <w:unhideWhenUsed/>
    <w:qFormat/>
  </w:style>
  <w:style w:type="paragraph" w:styleId="809">
    <w:name w:val="toc 2"/>
    <w:basedOn w:val="777"/>
    <w:next w:val="777"/>
    <w:uiPriority w:val="39"/>
    <w:unhideWhenUsed/>
    <w:qFormat/>
    <w:pPr>
      <w:ind w:left="283"/>
      <w:spacing w:after="57"/>
    </w:pPr>
  </w:style>
  <w:style w:type="paragraph" w:styleId="810">
    <w:name w:val="toc 9"/>
    <w:basedOn w:val="777"/>
    <w:next w:val="777"/>
    <w:uiPriority w:val="39"/>
    <w:unhideWhenUsed/>
    <w:qFormat/>
    <w:pPr>
      <w:ind w:left="2268"/>
      <w:spacing w:after="57"/>
    </w:pPr>
  </w:style>
  <w:style w:type="paragraph" w:styleId="811">
    <w:name w:val="Normal (Web)"/>
    <w:basedOn w:val="77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12">
    <w:name w:val="Title"/>
    <w:basedOn w:val="777"/>
    <w:next w:val="777"/>
    <w:link w:val="900"/>
    <w:uiPriority w:val="10"/>
    <w:qFormat/>
    <w:pPr>
      <w:contextualSpacing/>
      <w:spacing w:before="300" w:after="200"/>
    </w:pPr>
    <w:rPr>
      <w:sz w:val="48"/>
      <w:szCs w:val="48"/>
    </w:rPr>
  </w:style>
  <w:style w:type="paragraph" w:styleId="813">
    <w:name w:val="Body Text First Indent 2"/>
    <w:basedOn w:val="794"/>
    <w:uiPriority w:val="0"/>
    <w:qFormat/>
    <w:pPr>
      <w:ind w:firstLine="420"/>
    </w:p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87"/>
    <w:uiPriority w:val="22"/>
    <w:qFormat/>
  </w:style>
  <w:style w:type="character" w:styleId="816">
    <w:name w:val="endnote reference"/>
    <w:uiPriority w:val="99"/>
    <w:unhideWhenUsed/>
    <w:qFormat/>
    <w:rPr>
      <w:vertAlign w:val="superscript"/>
    </w:rPr>
  </w:style>
  <w:style w:type="character" w:styleId="817">
    <w:name w:val="FollowedHyperlink"/>
    <w:basedOn w:val="787"/>
    <w:uiPriority w:val="99"/>
    <w:semiHidden/>
    <w:unhideWhenUsed/>
    <w:qFormat/>
    <w:rPr>
      <w:color w:val="800080"/>
      <w:u w:val="none"/>
    </w:rPr>
  </w:style>
  <w:style w:type="character" w:styleId="818">
    <w:name w:val="Emphasis"/>
    <w:basedOn w:val="787"/>
    <w:uiPriority w:val="20"/>
    <w:qFormat/>
  </w:style>
  <w:style w:type="character" w:styleId="819">
    <w:name w:val="HTML Definition"/>
    <w:basedOn w:val="787"/>
    <w:uiPriority w:val="99"/>
    <w:semiHidden/>
    <w:unhideWhenUsed/>
    <w:qFormat/>
  </w:style>
  <w:style w:type="character" w:styleId="820">
    <w:name w:val="HTML Typewriter"/>
    <w:basedOn w:val="787"/>
    <w:uiPriority w:val="99"/>
    <w:semiHidden/>
    <w:unhideWhenUsed/>
    <w:qFormat/>
    <w:rPr>
      <w:rFonts w:hint="default" w:ascii="monospace" w:hAnsi="monospace" w:eastAsia="monospace" w:cs="monospace"/>
      <w:sz w:val="20"/>
    </w:rPr>
  </w:style>
  <w:style w:type="character" w:styleId="821">
    <w:name w:val="HTML Acronym"/>
    <w:basedOn w:val="787"/>
    <w:uiPriority w:val="99"/>
    <w:semiHidden/>
    <w:unhideWhenUsed/>
    <w:qFormat/>
  </w:style>
  <w:style w:type="character" w:styleId="822">
    <w:name w:val="HTML Variable"/>
    <w:basedOn w:val="787"/>
    <w:uiPriority w:val="99"/>
    <w:semiHidden/>
    <w:unhideWhenUsed/>
    <w:qFormat/>
  </w:style>
  <w:style w:type="character" w:styleId="823">
    <w:name w:val="Hyperlink"/>
    <w:uiPriority w:val="99"/>
    <w:unhideWhenUsed/>
    <w:qFormat/>
    <w:rPr>
      <w:color w:val="0000ff"/>
      <w:u w:val="single"/>
    </w:rPr>
  </w:style>
  <w:style w:type="character" w:styleId="824">
    <w:name w:val="HTML Code"/>
    <w:basedOn w:val="787"/>
    <w:uiPriority w:val="99"/>
    <w:semiHidden/>
    <w:unhideWhenUsed/>
    <w:qFormat/>
    <w:rPr>
      <w:rFonts w:ascii="monospace" w:hAnsi="monospace" w:eastAsia="monospace" w:cs="monospace"/>
      <w:sz w:val="20"/>
    </w:rPr>
  </w:style>
  <w:style w:type="character" w:styleId="825">
    <w:name w:val="HTML Cite"/>
    <w:basedOn w:val="787"/>
    <w:uiPriority w:val="99"/>
    <w:semiHidden/>
    <w:unhideWhenUsed/>
    <w:qFormat/>
  </w:style>
  <w:style w:type="character" w:styleId="826">
    <w:name w:val="footnote reference"/>
    <w:uiPriority w:val="99"/>
    <w:unhideWhenUsed/>
    <w:qFormat/>
    <w:rPr>
      <w:vertAlign w:val="superscript"/>
    </w:rPr>
  </w:style>
  <w:style w:type="character" w:styleId="827">
    <w:name w:val="HTML Keyboard"/>
    <w:basedOn w:val="787"/>
    <w:uiPriority w:val="99"/>
    <w:semiHidden/>
    <w:unhideWhenUsed/>
    <w:qFormat/>
    <w:rPr>
      <w:rFonts w:hint="default" w:ascii="monospace" w:hAnsi="monospace" w:eastAsia="monospace" w:cs="monospace"/>
      <w:sz w:val="20"/>
    </w:rPr>
  </w:style>
  <w:style w:type="character" w:styleId="828">
    <w:name w:val="HTML Sample"/>
    <w:basedOn w:val="787"/>
    <w:uiPriority w:val="99"/>
    <w:semiHidden/>
    <w:unhideWhenUsed/>
    <w:qFormat/>
    <w:rPr>
      <w:rFonts w:hint="default" w:ascii="monospace" w:hAnsi="monospace" w:eastAsia="monospace" w:cs="monospace"/>
    </w:rPr>
  </w:style>
  <w:style w:type="paragraph" w:styleId="829" w:customStyle="1">
    <w:name w:val="正文文本11"/>
    <w:basedOn w:val="777"/>
    <w:next w:val="830"/>
    <w:link w:val="887"/>
    <w:uiPriority w:val="0"/>
    <w:qFormat/>
    <w:rPr>
      <w:rFonts w:ascii="楷体_GB2312" w:hAnsi="Arial" w:eastAsia="楷体_GB2312"/>
      <w:sz w:val="28"/>
      <w:szCs w:val="28"/>
    </w:rPr>
  </w:style>
  <w:style w:type="paragraph" w:styleId="830" w:customStyle="1">
    <w:name w:val="正文缩进11"/>
    <w:basedOn w:val="777"/>
    <w:next w:val="777"/>
    <w:uiPriority w:val="0"/>
    <w:qFormat/>
    <w:pPr>
      <w:ind w:firstLine="420"/>
    </w:pPr>
  </w:style>
  <w:style w:type="paragraph" w:styleId="831" w:customStyle="1">
    <w:name w:val="TOC Heading1"/>
    <w:next w:val="777"/>
    <w:uiPriority w:val="0"/>
    <w:qFormat/>
    <w:rPr>
      <w:rFonts w:hint="default" w:ascii="Times New Roman" w:hAnsi="Times New Roman" w:eastAsia="宋体" w:cs="Times New Roman"/>
      <w:sz w:val="32"/>
      <w:lang w:val="en-US" w:eastAsia="zh-CN" w:bidi="ar-SA"/>
    </w:rPr>
  </w:style>
  <w:style w:type="paragraph" w:styleId="832" w:customStyle="1">
    <w:name w:val="标题二、"/>
    <w:basedOn w:val="777"/>
    <w:uiPriority w:val="99"/>
    <w:qFormat/>
    <w:pPr>
      <w:ind w:firstLine="200"/>
      <w:spacing w:line="360" w:lineRule="auto"/>
      <w:outlineLvl w:val="2"/>
    </w:pPr>
    <w:rPr>
      <w:rFonts w:ascii="宋体" w:hAnsi="宋体"/>
      <w:b/>
      <w:szCs w:val="21"/>
    </w:rPr>
  </w:style>
  <w:style w:type="paragraph" w:styleId="833" w:customStyle="1">
    <w:name w:val="正文1"/>
    <w:uiPriority w:val="0"/>
    <w:qFormat/>
    <w:rPr>
      <w:rFonts w:hint="default" w:ascii="Times New Roman" w:hAnsi="Times New Roman" w:eastAsia="Times New Roman" w:cs="Times New Roman"/>
      <w:sz w:val="24"/>
      <w:szCs w:val="24"/>
      <w:lang w:val="en-US" w:eastAsia="zh-CN" w:bidi="ar-SA"/>
    </w:rPr>
  </w:style>
  <w:style w:type="paragraph" w:styleId="834" w:customStyle="1">
    <w:name w:val="UserStyle_0"/>
    <w:basedOn w:val="835"/>
    <w:uiPriority w:val="0"/>
    <w:qFormat/>
    <w:pPr>
      <w:ind w:left="420"/>
      <w:spacing w:after="120"/>
    </w:pPr>
  </w:style>
  <w:style w:type="paragraph" w:styleId="835" w:customStyle="1">
    <w:name w:val="正文2"/>
    <w:basedOn w:val="777"/>
    <w:next w:val="834"/>
    <w:uiPriority w:val="0"/>
    <w:qFormat/>
    <w:pPr>
      <w:ind w:firstLine="510"/>
      <w:spacing w:before="156" w:line="360" w:lineRule="auto"/>
    </w:pPr>
    <w:rPr>
      <w:sz w:val="24"/>
      <w:szCs w:val="20"/>
    </w:rPr>
  </w:style>
  <w:style w:type="character" w:styleId="836" w:customStyle="1">
    <w:name w:val="标题 1 Char"/>
    <w:link w:val="837"/>
    <w:uiPriority w:val="0"/>
    <w:qFormat/>
    <w:rPr>
      <w:rFonts w:ascii="楷体_GB2312" w:hAnsi="Times New Roman" w:eastAsia="楷体_GB2312" w:cs="Times New Roman"/>
      <w:sz w:val="28"/>
      <w:szCs w:val="28"/>
    </w:rPr>
  </w:style>
  <w:style w:type="paragraph" w:styleId="837" w:customStyle="1">
    <w:name w:val="标题 11"/>
    <w:basedOn w:val="777"/>
    <w:next w:val="777"/>
    <w:link w:val="836"/>
    <w:uiPriority w:val="0"/>
    <w:qFormat/>
    <w:pPr>
      <w:jc w:val="center"/>
      <w:keepNext/>
      <w:outlineLvl w:val="0"/>
    </w:pPr>
    <w:rPr>
      <w:rFonts w:ascii="楷体_GB2312" w:eastAsia="楷体_GB2312"/>
      <w:sz w:val="28"/>
      <w:szCs w:val="28"/>
    </w:rPr>
  </w:style>
  <w:style w:type="character" w:styleId="838" w:customStyle="1">
    <w:name w:val="标题 2 Char"/>
    <w:link w:val="839"/>
    <w:uiPriority w:val="0"/>
    <w:qFormat/>
    <w:rPr>
      <w:rFonts w:ascii="Arial" w:hAnsi="Arial" w:eastAsia="幼圆" w:cs="Arial"/>
      <w:b/>
      <w:bCs/>
      <w:sz w:val="44"/>
      <w:szCs w:val="44"/>
    </w:rPr>
  </w:style>
  <w:style w:type="paragraph" w:styleId="839" w:customStyle="1">
    <w:name w:val="标题 21"/>
    <w:basedOn w:val="777"/>
    <w:next w:val="777"/>
    <w:link w:val="83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40" w:customStyle="1">
    <w:name w:val="标题 4 Char"/>
    <w:link w:val="841"/>
    <w:uiPriority w:val="0"/>
    <w:qFormat/>
    <w:rPr>
      <w:rFonts w:ascii="Arial" w:hAnsi="Arial" w:eastAsia="黑体" w:cs="Arial"/>
      <w:b/>
      <w:bCs/>
      <w:sz w:val="28"/>
      <w:szCs w:val="28"/>
    </w:rPr>
  </w:style>
  <w:style w:type="paragraph" w:styleId="841" w:customStyle="1">
    <w:name w:val="标题 41"/>
    <w:basedOn w:val="777"/>
    <w:next w:val="842"/>
    <w:link w:val="840"/>
    <w:uiPriority w:val="0"/>
    <w:qFormat/>
    <w:pPr>
      <w:keepLines/>
      <w:keepNext/>
      <w:spacing w:before="280" w:after="290" w:line="376" w:lineRule="auto"/>
      <w:outlineLvl w:val="3"/>
    </w:pPr>
    <w:rPr>
      <w:rFonts w:ascii="Arial" w:hAnsi="Arial" w:eastAsia="黑体" w:cs="Arial"/>
      <w:b/>
      <w:bCs/>
      <w:sz w:val="28"/>
      <w:szCs w:val="28"/>
    </w:rPr>
  </w:style>
  <w:style w:type="paragraph" w:styleId="842" w:customStyle="1">
    <w:name w:val="正文缩进1"/>
    <w:basedOn w:val="777"/>
    <w:next w:val="777"/>
    <w:link w:val="1044"/>
    <w:uiPriority w:val="0"/>
    <w:qFormat/>
    <w:pPr>
      <w:ind w:firstLine="420"/>
    </w:pPr>
  </w:style>
  <w:style w:type="paragraph" w:styleId="843" w:customStyle="1">
    <w:name w:val="正文文本1"/>
    <w:basedOn w:val="777"/>
    <w:next w:val="777"/>
    <w:uiPriority w:val="0"/>
    <w:qFormat/>
    <w:pPr>
      <w:spacing w:line="60" w:lineRule="auto"/>
    </w:pPr>
    <w:rPr>
      <w:rFonts w:ascii="仿宋_GB2312" w:eastAsia="仿宋_GB2312"/>
      <w:sz w:val="32"/>
    </w:rPr>
  </w:style>
  <w:style w:type="character" w:styleId="844" w:customStyle="1">
    <w:name w:val="NormalCharacter"/>
    <w:uiPriority w:val="0"/>
    <w:qFormat/>
  </w:style>
  <w:style w:type="character" w:styleId="845" w:customStyle="1">
    <w:name w:val="Heading 1 Char"/>
    <w:basedOn w:val="787"/>
    <w:uiPriority w:val="9"/>
    <w:qFormat/>
    <w:rPr>
      <w:rFonts w:ascii="Arial" w:hAnsi="Arial" w:eastAsia="Arial" w:cs="Arial"/>
      <w:sz w:val="40"/>
      <w:szCs w:val="40"/>
    </w:rPr>
  </w:style>
  <w:style w:type="character" w:styleId="846" w:customStyle="1">
    <w:name w:val="Heading 2 Char"/>
    <w:basedOn w:val="787"/>
    <w:uiPriority w:val="9"/>
    <w:qFormat/>
    <w:rPr>
      <w:rFonts w:ascii="Arial" w:hAnsi="Arial" w:eastAsia="Arial" w:cs="Arial"/>
      <w:sz w:val="34"/>
    </w:rPr>
  </w:style>
  <w:style w:type="character" w:styleId="847" w:customStyle="1">
    <w:name w:val="Heading 3 Char"/>
    <w:basedOn w:val="787"/>
    <w:uiPriority w:val="9"/>
    <w:qFormat/>
    <w:rPr>
      <w:rFonts w:ascii="Arial" w:hAnsi="Arial" w:eastAsia="Arial" w:cs="Arial"/>
      <w:sz w:val="30"/>
      <w:szCs w:val="30"/>
    </w:rPr>
  </w:style>
  <w:style w:type="character" w:styleId="848" w:customStyle="1">
    <w:name w:val="Heading 4 Char"/>
    <w:basedOn w:val="787"/>
    <w:uiPriority w:val="9"/>
    <w:qFormat/>
    <w:rPr>
      <w:rFonts w:ascii="Arial" w:hAnsi="Arial" w:eastAsia="Arial" w:cs="Arial"/>
      <w:b/>
      <w:bCs/>
      <w:sz w:val="26"/>
      <w:szCs w:val="26"/>
    </w:rPr>
  </w:style>
  <w:style w:type="character" w:styleId="849" w:customStyle="1">
    <w:name w:val="Heading 5 Char"/>
    <w:basedOn w:val="787"/>
    <w:uiPriority w:val="9"/>
    <w:qFormat/>
    <w:rPr>
      <w:rFonts w:ascii="Arial" w:hAnsi="Arial" w:eastAsia="Arial" w:cs="Arial"/>
      <w:b/>
      <w:bCs/>
      <w:sz w:val="24"/>
      <w:szCs w:val="24"/>
    </w:rPr>
  </w:style>
  <w:style w:type="character" w:styleId="850" w:customStyle="1">
    <w:name w:val="Heading 6 Char"/>
    <w:basedOn w:val="787"/>
    <w:uiPriority w:val="9"/>
    <w:qFormat/>
    <w:rPr>
      <w:rFonts w:ascii="Arial" w:hAnsi="Arial" w:eastAsia="Arial" w:cs="Arial"/>
      <w:b/>
      <w:bCs/>
      <w:sz w:val="22"/>
      <w:szCs w:val="22"/>
    </w:rPr>
  </w:style>
  <w:style w:type="character" w:styleId="851" w:customStyle="1">
    <w:name w:val="Heading 7 Char"/>
    <w:basedOn w:val="787"/>
    <w:uiPriority w:val="9"/>
    <w:qFormat/>
    <w:rPr>
      <w:rFonts w:ascii="Arial" w:hAnsi="Arial" w:eastAsia="Arial" w:cs="Arial"/>
      <w:b/>
      <w:bCs/>
      <w:i/>
      <w:iCs/>
      <w:sz w:val="22"/>
      <w:szCs w:val="22"/>
    </w:rPr>
  </w:style>
  <w:style w:type="character" w:styleId="852" w:customStyle="1">
    <w:name w:val="Heading 8 Char"/>
    <w:basedOn w:val="787"/>
    <w:uiPriority w:val="9"/>
    <w:qFormat/>
    <w:rPr>
      <w:rFonts w:ascii="Arial" w:hAnsi="Arial" w:eastAsia="Arial" w:cs="Arial"/>
      <w:i/>
      <w:iCs/>
      <w:sz w:val="22"/>
      <w:szCs w:val="22"/>
    </w:rPr>
  </w:style>
  <w:style w:type="character" w:styleId="853" w:customStyle="1">
    <w:name w:val="Heading 9 Char"/>
    <w:basedOn w:val="787"/>
    <w:uiPriority w:val="9"/>
    <w:qFormat/>
    <w:rPr>
      <w:rFonts w:ascii="Arial" w:hAnsi="Arial" w:eastAsia="Arial" w:cs="Arial"/>
      <w:i/>
      <w:iCs/>
      <w:sz w:val="21"/>
      <w:szCs w:val="21"/>
    </w:r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character" w:styleId="855" w:customStyle="1">
    <w:name w:val="Title Char"/>
    <w:basedOn w:val="787"/>
    <w:uiPriority w:val="10"/>
    <w:qFormat/>
    <w:rPr>
      <w:sz w:val="48"/>
      <w:szCs w:val="48"/>
    </w:rPr>
  </w:style>
  <w:style w:type="character" w:styleId="856" w:customStyle="1">
    <w:name w:val="Subtitle Char"/>
    <w:basedOn w:val="787"/>
    <w:uiPriority w:val="11"/>
    <w:qFormat/>
    <w:rPr>
      <w:sz w:val="24"/>
      <w:szCs w:val="24"/>
    </w:rPr>
  </w:style>
  <w:style w:type="paragraph" w:styleId="857">
    <w:name w:val="Quote"/>
    <w:basedOn w:val="777"/>
    <w:next w:val="777"/>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777"/>
    <w:next w:val="777"/>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Header Char"/>
    <w:basedOn w:val="787"/>
    <w:uiPriority w:val="99"/>
    <w:qFormat/>
  </w:style>
  <w:style w:type="character" w:styleId="862" w:customStyle="1">
    <w:name w:val="Caption Char"/>
    <w:uiPriority w:val="99"/>
    <w:qFormat/>
  </w:style>
  <w:style w:type="table" w:styleId="863"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character" w:styleId="885" w:customStyle="1">
    <w:name w:val="标题 3 Char"/>
    <w:link w:val="886"/>
    <w:uiPriority w:val="0"/>
    <w:qFormat/>
    <w:rPr>
      <w:rFonts w:ascii="Times New Roman" w:hAnsi="Times New Roman" w:eastAsia="宋体" w:cs="Times New Roman"/>
      <w:b/>
      <w:bCs/>
      <w:sz w:val="32"/>
      <w:szCs w:val="32"/>
    </w:rPr>
  </w:style>
  <w:style w:type="paragraph" w:styleId="886" w:customStyle="1">
    <w:name w:val="标题 31"/>
    <w:basedOn w:val="777"/>
    <w:next w:val="842"/>
    <w:link w:val="885"/>
    <w:uiPriority w:val="0"/>
    <w:qFormat/>
    <w:pPr>
      <w:keepLines/>
      <w:keepNext/>
      <w:spacing w:before="260" w:after="260" w:line="416" w:lineRule="auto"/>
      <w:outlineLvl w:val="2"/>
    </w:pPr>
    <w:rPr>
      <w:b/>
      <w:bCs/>
      <w:sz w:val="32"/>
      <w:szCs w:val="32"/>
    </w:rPr>
  </w:style>
  <w:style w:type="character" w:styleId="887" w:customStyle="1">
    <w:name w:val="正文文本 Char"/>
    <w:link w:val="829"/>
    <w:uiPriority w:val="0"/>
    <w:qFormat/>
    <w:rPr>
      <w:rFonts w:ascii="楷体_GB2312" w:hAnsi="Arial" w:eastAsia="楷体_GB2312" w:cs="Times New Roman"/>
      <w:sz w:val="28"/>
      <w:szCs w:val="28"/>
    </w:rPr>
  </w:style>
  <w:style w:type="paragraph" w:styleId="8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9" w:customStyle="1">
    <w:name w:val="标题 1 字符"/>
    <w:link w:val="778"/>
    <w:uiPriority w:val="9"/>
    <w:qFormat/>
    <w:rPr>
      <w:rFonts w:ascii="Arial" w:hAnsi="Arial" w:eastAsia="Arial" w:cs="Arial"/>
      <w:sz w:val="40"/>
      <w:szCs w:val="40"/>
    </w:rPr>
  </w:style>
  <w:style w:type="character" w:styleId="890" w:customStyle="1">
    <w:name w:val="标题 2 字符"/>
    <w:link w:val="779"/>
    <w:uiPriority w:val="9"/>
    <w:qFormat/>
    <w:rPr>
      <w:rFonts w:ascii="Arial" w:hAnsi="Arial" w:eastAsia="Arial" w:cs="Arial"/>
      <w:sz w:val="34"/>
    </w:rPr>
  </w:style>
  <w:style w:type="character" w:styleId="891" w:customStyle="1">
    <w:name w:val="标题 3 字符"/>
    <w:link w:val="780"/>
    <w:uiPriority w:val="9"/>
    <w:qFormat/>
    <w:rPr>
      <w:rFonts w:ascii="Arial" w:hAnsi="Arial" w:eastAsia="Arial" w:cs="Arial"/>
      <w:sz w:val="30"/>
      <w:szCs w:val="30"/>
    </w:rPr>
  </w:style>
  <w:style w:type="character" w:styleId="892" w:customStyle="1">
    <w:name w:val="标题 4 字符"/>
    <w:link w:val="781"/>
    <w:uiPriority w:val="9"/>
    <w:qFormat/>
    <w:rPr>
      <w:rFonts w:ascii="Arial" w:hAnsi="Arial" w:eastAsia="Arial" w:cs="Arial"/>
      <w:b/>
      <w:bCs/>
      <w:sz w:val="26"/>
      <w:szCs w:val="26"/>
    </w:rPr>
  </w:style>
  <w:style w:type="character" w:styleId="893" w:customStyle="1">
    <w:name w:val="标题 5 字符"/>
    <w:link w:val="782"/>
    <w:uiPriority w:val="9"/>
    <w:qFormat/>
    <w:rPr>
      <w:rFonts w:ascii="Arial" w:hAnsi="Arial" w:eastAsia="Arial" w:cs="Arial"/>
      <w:b/>
      <w:bCs/>
      <w:sz w:val="24"/>
      <w:szCs w:val="24"/>
    </w:rPr>
  </w:style>
  <w:style w:type="character" w:styleId="894" w:customStyle="1">
    <w:name w:val="标题 6 字符"/>
    <w:link w:val="783"/>
    <w:uiPriority w:val="9"/>
    <w:qFormat/>
    <w:rPr>
      <w:rFonts w:ascii="Arial" w:hAnsi="Arial" w:eastAsia="Arial" w:cs="Arial"/>
      <w:b/>
      <w:bCs/>
      <w:sz w:val="22"/>
      <w:szCs w:val="22"/>
    </w:rPr>
  </w:style>
  <w:style w:type="character" w:styleId="895" w:customStyle="1">
    <w:name w:val="标题 7 字符"/>
    <w:link w:val="784"/>
    <w:uiPriority w:val="9"/>
    <w:qFormat/>
    <w:rPr>
      <w:rFonts w:ascii="Arial" w:hAnsi="Arial" w:eastAsia="Arial" w:cs="Arial"/>
      <w:b/>
      <w:bCs/>
      <w:i/>
      <w:iCs/>
      <w:sz w:val="22"/>
      <w:szCs w:val="22"/>
    </w:rPr>
  </w:style>
  <w:style w:type="character" w:styleId="896" w:customStyle="1">
    <w:name w:val="标题 8 字符"/>
    <w:link w:val="785"/>
    <w:uiPriority w:val="9"/>
    <w:qFormat/>
    <w:rPr>
      <w:rFonts w:ascii="Arial" w:hAnsi="Arial" w:eastAsia="Arial" w:cs="Arial"/>
      <w:i/>
      <w:iCs/>
      <w:sz w:val="22"/>
      <w:szCs w:val="22"/>
    </w:rPr>
  </w:style>
  <w:style w:type="character" w:styleId="897" w:customStyle="1">
    <w:name w:val="标题 9 字符"/>
    <w:link w:val="786"/>
    <w:uiPriority w:val="9"/>
    <w:qFormat/>
    <w:rPr>
      <w:rFonts w:ascii="Arial" w:hAnsi="Arial" w:eastAsia="Arial" w:cs="Arial"/>
      <w:i/>
      <w:iCs/>
      <w:sz w:val="21"/>
      <w:szCs w:val="21"/>
    </w:rPr>
  </w:style>
  <w:style w:type="paragraph" w:styleId="898" w:customStyle="1">
    <w:name w:val="列表段落1"/>
    <w:basedOn w:val="777"/>
    <w:uiPriority w:val="34"/>
    <w:qFormat/>
    <w:pPr>
      <w:contextualSpacing/>
      <w:ind w:left="720"/>
    </w:pPr>
  </w:style>
  <w:style w:type="paragraph" w:styleId="899" w:customStyle="1">
    <w:name w:val="无间隔1"/>
    <w:uiPriority w:val="1"/>
    <w:qFormat/>
    <w:rPr>
      <w:rFonts w:hint="default" w:ascii="Times New Roman" w:hAnsi="Times New Roman" w:eastAsia="宋体" w:cs="Times New Roman"/>
      <w:lang w:val="en-US" w:eastAsia="zh-CN" w:bidi="ar-SA"/>
    </w:rPr>
  </w:style>
  <w:style w:type="character" w:styleId="900" w:customStyle="1">
    <w:name w:val="标题 字符"/>
    <w:link w:val="812"/>
    <w:uiPriority w:val="10"/>
    <w:qFormat/>
    <w:rPr>
      <w:sz w:val="48"/>
      <w:szCs w:val="48"/>
    </w:rPr>
  </w:style>
  <w:style w:type="character" w:styleId="901" w:customStyle="1">
    <w:name w:val="副标题 字符"/>
    <w:link w:val="804"/>
    <w:uiPriority w:val="11"/>
    <w:qFormat/>
    <w:rPr>
      <w:sz w:val="24"/>
      <w:szCs w:val="24"/>
    </w:rPr>
  </w:style>
  <w:style w:type="paragraph" w:styleId="902" w:customStyle="1">
    <w:name w:val="引用1"/>
    <w:basedOn w:val="777"/>
    <w:next w:val="777"/>
    <w:link w:val="903"/>
    <w:uiPriority w:val="29"/>
    <w:qFormat/>
    <w:pPr>
      <w:ind w:left="720" w:right="720"/>
    </w:pPr>
    <w:rPr>
      <w:i/>
    </w:rPr>
  </w:style>
  <w:style w:type="character" w:styleId="903" w:customStyle="1">
    <w:name w:val="引用 字符"/>
    <w:link w:val="902"/>
    <w:uiPriority w:val="29"/>
    <w:qFormat/>
    <w:rPr>
      <w:i/>
    </w:rPr>
  </w:style>
  <w:style w:type="paragraph" w:styleId="904" w:customStyle="1">
    <w:name w:val="明显引用1"/>
    <w:basedOn w:val="777"/>
    <w:next w:val="777"/>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页眉 字符"/>
    <w:link w:val="801"/>
    <w:uiPriority w:val="99"/>
    <w:qFormat/>
  </w:style>
  <w:style w:type="character" w:styleId="907" w:customStyle="1">
    <w:name w:val="Footer Char"/>
    <w:uiPriority w:val="99"/>
    <w:qFormat/>
  </w:style>
  <w:style w:type="character" w:styleId="908" w:customStyle="1">
    <w:name w:val="页脚 字符"/>
    <w:link w:val="800"/>
    <w:uiPriority w:val="99"/>
    <w:qFormat/>
  </w:style>
  <w:style w:type="table" w:styleId="9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2" w:customStyle="1">
    <w:name w:val="无格式表格 31"/>
    <w:uiPriority w:val="99"/>
    <w:qFormat/>
    <w:tblPr>
      <w:tblCellMar>
        <w:left w:w="0" w:type="dxa"/>
        <w:top w:w="0" w:type="dxa"/>
        <w:right w:w="0" w:type="dxa"/>
        <w:bottom w:w="0" w:type="dxa"/>
      </w:tblCellMar>
    </w:tblPr>
  </w:style>
  <w:style w:type="table" w:styleId="913" w:customStyle="1">
    <w:name w:val="无格式表格 41"/>
    <w:uiPriority w:val="99"/>
    <w:qFormat/>
    <w:tblPr>
      <w:tblCellMar>
        <w:left w:w="0" w:type="dxa"/>
        <w:top w:w="0" w:type="dxa"/>
        <w:right w:w="0" w:type="dxa"/>
        <w:bottom w:w="0" w:type="dxa"/>
      </w:tblCellMar>
    </w:tblPr>
  </w:style>
  <w:style w:type="table" w:styleId="914" w:customStyle="1">
    <w:name w:val="无格式表格 51"/>
    <w:uiPriority w:val="99"/>
    <w:qFormat/>
    <w:tblPr>
      <w:tblCellMar>
        <w:left w:w="0" w:type="dxa"/>
        <w:top w:w="0" w:type="dxa"/>
        <w:right w:w="0" w:type="dxa"/>
        <w:bottom w:w="0" w:type="dxa"/>
      </w:tblCellMar>
    </w:tblPr>
  </w:style>
  <w:style w:type="table" w:styleId="9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清单表 1 浅色1"/>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4" w:customStyle="1">
    <w:name w:val="脚注文本 字符"/>
    <w:link w:val="806"/>
    <w:uiPriority w:val="99"/>
    <w:qFormat/>
    <w:rPr>
      <w:sz w:val="18"/>
    </w:rPr>
  </w:style>
  <w:style w:type="character" w:styleId="1035" w:customStyle="1">
    <w:name w:val="尾注文本 字符"/>
    <w:link w:val="799"/>
    <w:uiPriority w:val="99"/>
    <w:qFormat/>
    <w:rPr>
      <w:sz w:val="20"/>
    </w:rPr>
  </w:style>
  <w:style w:type="paragraph" w:styleId="1036" w:customStyle="1">
    <w:name w:val="TOC 标题1"/>
    <w:uiPriority w:val="39"/>
    <w:unhideWhenUsed/>
    <w:qFormat/>
    <w:rPr>
      <w:rFonts w:hint="default" w:ascii="Times New Roman" w:hAnsi="Times New Roman" w:eastAsia="宋体" w:cs="Times New Roman"/>
      <w:lang w:val="en-US" w:eastAsia="zh-CN" w:bidi="ar-SA"/>
    </w:rPr>
  </w:style>
  <w:style w:type="paragraph" w:styleId="1037" w:customStyle="1">
    <w:name w:val="标题 51"/>
    <w:basedOn w:val="777"/>
    <w:next w:val="842"/>
    <w:link w:val="1045"/>
    <w:uiPriority w:val="0"/>
    <w:qFormat/>
    <w:pPr>
      <w:keepNext/>
      <w:outlineLvl w:val="4"/>
    </w:pPr>
    <w:rPr>
      <w:rFonts w:ascii="宋体"/>
      <w:color w:val="000000"/>
      <w:sz w:val="28"/>
      <w:szCs w:val="28"/>
    </w:rPr>
  </w:style>
  <w:style w:type="paragraph" w:styleId="1038" w:customStyle="1">
    <w:name w:val="标题 61"/>
    <w:basedOn w:val="777"/>
    <w:next w:val="777"/>
    <w:link w:val="104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39" w:customStyle="1">
    <w:name w:val="标题 71"/>
    <w:basedOn w:val="777"/>
    <w:next w:val="777"/>
    <w:link w:val="1047"/>
    <w:uiPriority w:val="0"/>
    <w:qFormat/>
    <w:pPr>
      <w:numPr>
        <w:ilvl w:val="6"/>
        <w:numId w:val="2"/>
      </w:numPr>
      <w:keepLines/>
      <w:keepNext/>
      <w:spacing w:before="240" w:after="64" w:line="320" w:lineRule="auto"/>
      <w:outlineLvl w:val="6"/>
    </w:pPr>
    <w:rPr>
      <w:b/>
      <w:bCs/>
      <w:sz w:val="24"/>
      <w:szCs w:val="24"/>
    </w:rPr>
  </w:style>
  <w:style w:type="paragraph" w:styleId="1040" w:customStyle="1">
    <w:name w:val="标题 81"/>
    <w:basedOn w:val="777"/>
    <w:next w:val="777"/>
    <w:link w:val="104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41" w:customStyle="1">
    <w:name w:val="标题 91"/>
    <w:basedOn w:val="777"/>
    <w:next w:val="777"/>
    <w:link w:val="1049"/>
    <w:uiPriority w:val="0"/>
    <w:qFormat/>
    <w:pPr>
      <w:numPr>
        <w:ilvl w:val="8"/>
        <w:numId w:val="2"/>
      </w:numPr>
      <w:keepLines/>
      <w:keepNext/>
      <w:spacing w:before="240" w:after="64" w:line="320" w:lineRule="auto"/>
      <w:outlineLvl w:val="8"/>
    </w:pPr>
    <w:rPr>
      <w:rFonts w:ascii="Arial" w:hAnsi="Arial" w:eastAsia="黑体"/>
    </w:rPr>
  </w:style>
  <w:style w:type="character" w:styleId="1042" w:customStyle="1">
    <w:name w:val="默认段落字体1"/>
    <w:link w:val="777"/>
    <w:uiPriority w:val="1"/>
    <w:unhideWhenUsed/>
    <w:qFormat/>
  </w:style>
  <w:style w:type="table" w:styleId="1043" w:customStyle="1">
    <w:name w:val="普通表格1"/>
    <w:uiPriority w:val="99"/>
    <w:unhideWhenUsed/>
    <w:qFormat/>
    <w:tblPr>
      <w:tblCellMar>
        <w:left w:w="0" w:type="dxa"/>
        <w:top w:w="0" w:type="dxa"/>
        <w:right w:w="0" w:type="dxa"/>
        <w:bottom w:w="0" w:type="dxa"/>
      </w:tblCellMar>
    </w:tblPr>
  </w:style>
  <w:style w:type="character" w:styleId="1044" w:customStyle="1">
    <w:name w:val="正文缩进 Char"/>
    <w:link w:val="842"/>
    <w:uiPriority w:val="0"/>
    <w:qFormat/>
    <w:rPr>
      <w:rFonts w:ascii="Times New Roman" w:hAnsi="Times New Roman" w:eastAsia="宋体" w:cs="Times New Roman"/>
      <w:szCs w:val="21"/>
    </w:rPr>
  </w:style>
  <w:style w:type="character" w:styleId="1045" w:customStyle="1">
    <w:name w:val="标题 5 Char"/>
    <w:link w:val="1037"/>
    <w:uiPriority w:val="0"/>
    <w:qFormat/>
    <w:rPr>
      <w:rFonts w:ascii="宋体" w:hAnsi="Times New Roman" w:eastAsia="宋体" w:cs="Times New Roman"/>
      <w:color w:val="000000"/>
      <w:sz w:val="28"/>
      <w:szCs w:val="28"/>
    </w:rPr>
  </w:style>
  <w:style w:type="character" w:styleId="1046" w:customStyle="1">
    <w:name w:val="标题 6 Char"/>
    <w:link w:val="1038"/>
    <w:uiPriority w:val="0"/>
    <w:qFormat/>
    <w:rPr>
      <w:rFonts w:ascii="Arial" w:hAnsi="Arial" w:eastAsia="黑体" w:cs="Times New Roman"/>
      <w:b/>
      <w:bCs/>
      <w:sz w:val="24"/>
      <w:szCs w:val="24"/>
    </w:rPr>
  </w:style>
  <w:style w:type="character" w:styleId="1047" w:customStyle="1">
    <w:name w:val="标题 7 Char"/>
    <w:link w:val="1039"/>
    <w:uiPriority w:val="0"/>
    <w:qFormat/>
    <w:rPr>
      <w:rFonts w:ascii="Times New Roman" w:hAnsi="Times New Roman" w:eastAsia="宋体" w:cs="Times New Roman"/>
      <w:b/>
      <w:bCs/>
      <w:sz w:val="24"/>
      <w:szCs w:val="24"/>
    </w:rPr>
  </w:style>
  <w:style w:type="character" w:styleId="1048" w:customStyle="1">
    <w:name w:val="标题 8 Char"/>
    <w:link w:val="1040"/>
    <w:uiPriority w:val="0"/>
    <w:qFormat/>
    <w:rPr>
      <w:rFonts w:ascii="Arial" w:hAnsi="Arial" w:eastAsia="黑体" w:cs="Times New Roman"/>
      <w:sz w:val="24"/>
      <w:szCs w:val="24"/>
    </w:rPr>
  </w:style>
  <w:style w:type="character" w:styleId="1049" w:customStyle="1">
    <w:name w:val="标题 9 Char"/>
    <w:link w:val="1041"/>
    <w:uiPriority w:val="0"/>
    <w:qFormat/>
    <w:rPr>
      <w:rFonts w:ascii="Arial" w:hAnsi="Arial" w:eastAsia="黑体" w:cs="Times New Roman"/>
      <w:szCs w:val="21"/>
    </w:rPr>
  </w:style>
  <w:style w:type="paragraph" w:styleId="1050" w:customStyle="1">
    <w:name w:val="列表 31"/>
    <w:basedOn w:val="777"/>
    <w:uiPriority w:val="0"/>
    <w:qFormat/>
    <w:pPr>
      <w:ind w:left="100" w:hanging="200"/>
    </w:pPr>
  </w:style>
  <w:style w:type="paragraph" w:styleId="1051" w:customStyle="1">
    <w:name w:val="目录 71"/>
    <w:basedOn w:val="777"/>
    <w:next w:val="777"/>
    <w:uiPriority w:val="0"/>
    <w:semiHidden/>
    <w:qFormat/>
    <w:pPr>
      <w:ind w:left="1260"/>
      <w:jc w:val="left"/>
    </w:pPr>
  </w:style>
  <w:style w:type="paragraph" w:styleId="1052" w:customStyle="1">
    <w:name w:val="文档结构图1"/>
    <w:basedOn w:val="777"/>
    <w:link w:val="1053"/>
    <w:uiPriority w:val="0"/>
    <w:semiHidden/>
    <w:qFormat/>
    <w:pPr>
      <w:shd w:val="clear" w:color="auto" w:fill="000080"/>
    </w:pPr>
  </w:style>
  <w:style w:type="character" w:styleId="1053" w:customStyle="1">
    <w:name w:val="文档结构图 Char"/>
    <w:link w:val="1052"/>
    <w:uiPriority w:val="0"/>
    <w:semiHidden/>
    <w:qFormat/>
    <w:rPr>
      <w:rFonts w:ascii="Times New Roman" w:hAnsi="Times New Roman" w:eastAsia="宋体" w:cs="Times New Roman"/>
      <w:szCs w:val="21"/>
      <w:shd w:val="clear" w:color="auto" w:fill="000080"/>
    </w:rPr>
  </w:style>
  <w:style w:type="paragraph" w:styleId="1054" w:customStyle="1">
    <w:name w:val="批注文字1"/>
    <w:basedOn w:val="777"/>
    <w:link w:val="1055"/>
    <w:uiPriority w:val="0"/>
    <w:semiHidden/>
    <w:qFormat/>
    <w:pPr>
      <w:jc w:val="left"/>
    </w:pPr>
  </w:style>
  <w:style w:type="character" w:styleId="1055" w:customStyle="1">
    <w:name w:val="批注文字 Char"/>
    <w:link w:val="1054"/>
    <w:uiPriority w:val="0"/>
    <w:semiHidden/>
    <w:qFormat/>
    <w:rPr>
      <w:rFonts w:ascii="Times New Roman" w:hAnsi="Times New Roman" w:eastAsia="宋体" w:cs="Times New Roman"/>
      <w:szCs w:val="21"/>
    </w:rPr>
  </w:style>
  <w:style w:type="paragraph" w:styleId="1056" w:customStyle="1">
    <w:name w:val="正文文本 31"/>
    <w:basedOn w:val="777"/>
    <w:link w:val="1057"/>
    <w:uiPriority w:val="0"/>
    <w:qFormat/>
    <w:rPr>
      <w:rFonts w:ascii="仿宋_GB2312" w:hAnsi="Arial" w:eastAsia="仿宋_GB2312"/>
      <w:sz w:val="32"/>
      <w:szCs w:val="32"/>
    </w:rPr>
  </w:style>
  <w:style w:type="character" w:styleId="1057" w:customStyle="1">
    <w:name w:val="正文文本 3 Char"/>
    <w:link w:val="1056"/>
    <w:uiPriority w:val="0"/>
    <w:qFormat/>
    <w:rPr>
      <w:rFonts w:ascii="仿宋_GB2312" w:hAnsi="Arial" w:eastAsia="仿宋_GB2312" w:cs="Times New Roman"/>
      <w:sz w:val="32"/>
      <w:szCs w:val="32"/>
    </w:rPr>
  </w:style>
  <w:style w:type="paragraph" w:styleId="1058" w:customStyle="1">
    <w:name w:val="正文文本缩进1"/>
    <w:basedOn w:val="777"/>
    <w:next w:val="777"/>
    <w:link w:val="1059"/>
    <w:uiPriority w:val="0"/>
    <w:qFormat/>
    <w:pPr>
      <w:ind w:firstLine="645"/>
    </w:pPr>
    <w:rPr>
      <w:rFonts w:ascii="楷体_GB2312" w:eastAsia="楷体_GB2312"/>
      <w:sz w:val="32"/>
      <w:szCs w:val="32"/>
    </w:rPr>
  </w:style>
  <w:style w:type="character" w:styleId="1059" w:customStyle="1">
    <w:name w:val="正文文本缩进 Char"/>
    <w:link w:val="1058"/>
    <w:uiPriority w:val="0"/>
    <w:qFormat/>
    <w:rPr>
      <w:rFonts w:ascii="楷体_GB2312" w:hAnsi="Times New Roman" w:eastAsia="楷体_GB2312" w:cs="Times New Roman"/>
      <w:sz w:val="32"/>
      <w:szCs w:val="32"/>
    </w:rPr>
  </w:style>
  <w:style w:type="paragraph" w:styleId="1060" w:customStyle="1">
    <w:name w:val="列表 21"/>
    <w:basedOn w:val="777"/>
    <w:uiPriority w:val="0"/>
    <w:qFormat/>
    <w:pPr>
      <w:ind w:left="100" w:hanging="200"/>
    </w:pPr>
  </w:style>
  <w:style w:type="paragraph" w:styleId="1061" w:customStyle="1">
    <w:name w:val="目录 51"/>
    <w:basedOn w:val="777"/>
    <w:next w:val="777"/>
    <w:uiPriority w:val="0"/>
    <w:semiHidden/>
    <w:qFormat/>
    <w:pPr>
      <w:ind w:left="840"/>
      <w:jc w:val="left"/>
    </w:pPr>
  </w:style>
  <w:style w:type="paragraph" w:styleId="1062" w:customStyle="1">
    <w:name w:val="目录 31"/>
    <w:basedOn w:val="777"/>
    <w:next w:val="777"/>
    <w:uiPriority w:val="0"/>
    <w:semiHidden/>
    <w:qFormat/>
    <w:pPr>
      <w:ind w:left="420"/>
      <w:jc w:val="left"/>
    </w:pPr>
    <w:rPr>
      <w:i/>
      <w:iCs/>
      <w:szCs w:val="24"/>
    </w:rPr>
  </w:style>
  <w:style w:type="paragraph" w:styleId="1063" w:customStyle="1">
    <w:name w:val="纯文本1"/>
    <w:basedOn w:val="777"/>
    <w:link w:val="1064"/>
    <w:uiPriority w:val="0"/>
    <w:qFormat/>
    <w:rPr>
      <w:rFonts w:ascii="宋体" w:hAnsi="Courier New" w:cs="Courier New"/>
    </w:rPr>
  </w:style>
  <w:style w:type="character" w:styleId="1064" w:customStyle="1">
    <w:name w:val="纯文本 Char"/>
    <w:link w:val="1063"/>
    <w:uiPriority w:val="0"/>
    <w:qFormat/>
    <w:rPr>
      <w:rFonts w:ascii="宋体" w:hAnsi="Courier New" w:eastAsia="宋体" w:cs="Courier New"/>
      <w:szCs w:val="21"/>
    </w:rPr>
  </w:style>
  <w:style w:type="paragraph" w:styleId="1065" w:customStyle="1">
    <w:name w:val="目录 81"/>
    <w:basedOn w:val="777"/>
    <w:next w:val="777"/>
    <w:uiPriority w:val="0"/>
    <w:semiHidden/>
    <w:qFormat/>
    <w:pPr>
      <w:ind w:left="1470"/>
      <w:jc w:val="left"/>
    </w:pPr>
  </w:style>
  <w:style w:type="paragraph" w:styleId="1066" w:customStyle="1">
    <w:name w:val="日期1"/>
    <w:basedOn w:val="777"/>
    <w:next w:val="777"/>
    <w:link w:val="1067"/>
    <w:uiPriority w:val="0"/>
    <w:qFormat/>
    <w:rPr>
      <w:sz w:val="24"/>
      <w:szCs w:val="24"/>
    </w:rPr>
  </w:style>
  <w:style w:type="character" w:styleId="1067" w:customStyle="1">
    <w:name w:val="日期 Char"/>
    <w:link w:val="1066"/>
    <w:uiPriority w:val="0"/>
    <w:qFormat/>
    <w:rPr>
      <w:rFonts w:ascii="Times New Roman" w:hAnsi="Times New Roman" w:eastAsia="宋体" w:cs="Times New Roman"/>
      <w:sz w:val="24"/>
      <w:szCs w:val="24"/>
    </w:rPr>
  </w:style>
  <w:style w:type="paragraph" w:styleId="1068" w:customStyle="1">
    <w:name w:val="正文文本缩进 21"/>
    <w:basedOn w:val="777"/>
    <w:link w:val="1069"/>
    <w:uiPriority w:val="0"/>
    <w:qFormat/>
    <w:pPr>
      <w:ind w:left="630" w:firstLine="645"/>
    </w:pPr>
    <w:rPr>
      <w:rFonts w:ascii="Arial" w:hAnsi="Arial" w:eastAsia="仿宋_GB2312" w:cs="Arial"/>
      <w:sz w:val="32"/>
      <w:szCs w:val="32"/>
    </w:rPr>
  </w:style>
  <w:style w:type="character" w:styleId="1069" w:customStyle="1">
    <w:name w:val="正文文本缩进 2 Char"/>
    <w:link w:val="1068"/>
    <w:uiPriority w:val="0"/>
    <w:qFormat/>
    <w:rPr>
      <w:rFonts w:ascii="Arial" w:hAnsi="Arial" w:eastAsia="仿宋_GB2312" w:cs="Arial"/>
      <w:sz w:val="32"/>
      <w:szCs w:val="32"/>
    </w:rPr>
  </w:style>
  <w:style w:type="paragraph" w:styleId="1070" w:customStyle="1">
    <w:name w:val="批注框文本1"/>
    <w:basedOn w:val="777"/>
    <w:link w:val="1071"/>
    <w:uiPriority w:val="0"/>
    <w:semiHidden/>
    <w:qFormat/>
    <w:rPr>
      <w:sz w:val="18"/>
      <w:szCs w:val="18"/>
    </w:rPr>
  </w:style>
  <w:style w:type="character" w:styleId="1071" w:customStyle="1">
    <w:name w:val="批注框文本 Char"/>
    <w:link w:val="1070"/>
    <w:uiPriority w:val="0"/>
    <w:semiHidden/>
    <w:qFormat/>
    <w:rPr>
      <w:rFonts w:ascii="Times New Roman" w:hAnsi="Times New Roman" w:eastAsia="宋体" w:cs="Times New Roman"/>
      <w:sz w:val="18"/>
      <w:szCs w:val="18"/>
    </w:rPr>
  </w:style>
  <w:style w:type="paragraph" w:styleId="1072" w:customStyle="1">
    <w:name w:val="页脚1"/>
    <w:basedOn w:val="777"/>
    <w:link w:val="1073"/>
    <w:uiPriority w:val="0"/>
    <w:qFormat/>
    <w:pPr>
      <w:jc w:val="left"/>
      <w:tabs>
        <w:tab w:val="center" w:pos="4153" w:leader="none"/>
        <w:tab w:val="right" w:pos="8306" w:leader="none"/>
      </w:tabs>
    </w:pPr>
    <w:rPr>
      <w:sz w:val="18"/>
      <w:szCs w:val="18"/>
    </w:rPr>
  </w:style>
  <w:style w:type="character" w:styleId="1073" w:customStyle="1">
    <w:name w:val="页脚 Char"/>
    <w:link w:val="1072"/>
    <w:uiPriority w:val="0"/>
    <w:qFormat/>
    <w:rPr>
      <w:rFonts w:ascii="Times New Roman" w:hAnsi="Times New Roman" w:eastAsia="宋体" w:cs="Times New Roman"/>
      <w:sz w:val="18"/>
      <w:szCs w:val="18"/>
    </w:rPr>
  </w:style>
  <w:style w:type="paragraph" w:styleId="1074" w:customStyle="1">
    <w:name w:val="寄信人地址1"/>
    <w:basedOn w:val="1075"/>
    <w:uiPriority w:val="99"/>
    <w:unhideWhenUsed/>
    <w:qFormat/>
    <w:rPr>
      <w:rFonts w:ascii="Arial" w:hAnsi="Arial"/>
    </w:rPr>
  </w:style>
  <w:style w:type="paragraph" w:styleId="1075" w:customStyle="1">
    <w:name w:val="正文_16"/>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文本 2_0"/>
    <w:basedOn w:val="1075"/>
    <w:uiPriority w:val="0"/>
    <w:qFormat/>
    <w:rPr>
      <w:rFonts w:ascii="仿宋_GB2312" w:eastAsia="仿宋_GB2312"/>
      <w:sz w:val="28"/>
    </w:rPr>
  </w:style>
  <w:style w:type="paragraph" w:styleId="1077" w:customStyle="1">
    <w:name w:val="正文首行缩进 2_0"/>
    <w:basedOn w:val="1078"/>
    <w:uiPriority w:val="0"/>
    <w:qFormat/>
    <w:pPr>
      <w:ind w:left="200" w:firstLine="200"/>
      <w:spacing w:after="120"/>
    </w:pPr>
    <w:rPr>
      <w:rFonts w:ascii="Times New Roman" w:hAnsi="Times New Roman"/>
      <w:sz w:val="24"/>
      <w:szCs w:val="24"/>
    </w:rPr>
  </w:style>
  <w:style w:type="paragraph" w:styleId="1078" w:customStyle="1">
    <w:name w:val="正文文本缩进_0"/>
    <w:basedOn w:val="1075"/>
    <w:next w:val="1074"/>
    <w:uiPriority w:val="0"/>
    <w:qFormat/>
    <w:pPr>
      <w:ind w:firstLine="225"/>
    </w:pPr>
    <w:rPr>
      <w:rFonts w:ascii="仿宋_GB2312" w:eastAsia="仿宋_GB2312"/>
      <w:sz w:val="32"/>
    </w:rPr>
  </w:style>
  <w:style w:type="paragraph" w:styleId="1079" w:customStyle="1">
    <w:name w:val="页眉1"/>
    <w:basedOn w:val="777"/>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
    <w:link w:val="1079"/>
    <w:uiPriority w:val="0"/>
    <w:qFormat/>
    <w:rPr>
      <w:rFonts w:ascii="Times New Roman" w:hAnsi="Times New Roman" w:eastAsia="宋体" w:cs="Times New Roman"/>
      <w:sz w:val="18"/>
      <w:szCs w:val="18"/>
    </w:rPr>
  </w:style>
  <w:style w:type="paragraph" w:styleId="1081"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777"/>
    <w:next w:val="777"/>
    <w:uiPriority w:val="0"/>
    <w:semiHidden/>
    <w:qFormat/>
    <w:pPr>
      <w:ind w:left="630"/>
      <w:jc w:val="left"/>
    </w:pPr>
  </w:style>
  <w:style w:type="paragraph" w:styleId="1083" w:customStyle="1">
    <w:name w:val="列表1"/>
    <w:basedOn w:val="777"/>
    <w:uiPriority w:val="0"/>
    <w:qFormat/>
    <w:pPr>
      <w:ind w:left="200" w:hanging="200"/>
    </w:pPr>
  </w:style>
  <w:style w:type="paragraph" w:styleId="1084" w:customStyle="1">
    <w:name w:val="目录 61"/>
    <w:basedOn w:val="777"/>
    <w:next w:val="777"/>
    <w:uiPriority w:val="0"/>
    <w:semiHidden/>
    <w:qFormat/>
    <w:pPr>
      <w:ind w:left="1050"/>
      <w:jc w:val="left"/>
    </w:pPr>
  </w:style>
  <w:style w:type="paragraph" w:styleId="1085" w:customStyle="1">
    <w:name w:val="正文文本缩进 31"/>
    <w:basedOn w:val="777"/>
    <w:link w:val="1086"/>
    <w:uiPriority w:val="0"/>
    <w:qFormat/>
    <w:pPr>
      <w:ind w:left="645" w:firstLine="645"/>
    </w:pPr>
    <w:rPr>
      <w:rFonts w:ascii="Arial" w:hAnsi="Arial" w:eastAsia="仿宋_GB2312" w:cs="Arial"/>
      <w:color w:val="ffff00"/>
      <w:sz w:val="32"/>
      <w:szCs w:val="32"/>
    </w:rPr>
  </w:style>
  <w:style w:type="character" w:styleId="1086" w:customStyle="1">
    <w:name w:val="正文文本缩进 3 Char"/>
    <w:link w:val="1085"/>
    <w:uiPriority w:val="0"/>
    <w:qFormat/>
    <w:rPr>
      <w:rFonts w:ascii="Arial" w:hAnsi="Arial" w:eastAsia="仿宋_GB2312" w:cs="Arial"/>
      <w:color w:val="ffff00"/>
      <w:sz w:val="32"/>
      <w:szCs w:val="32"/>
    </w:rPr>
  </w:style>
  <w:style w:type="paragraph" w:styleId="1087" w:customStyle="1">
    <w:name w:val="图表目录1"/>
    <w:basedOn w:val="777"/>
    <w:next w:val="777"/>
    <w:uiPriority w:val="0"/>
    <w:semiHidden/>
    <w:qFormat/>
    <w:pPr>
      <w:ind w:left="840" w:hanging="420"/>
    </w:pPr>
  </w:style>
  <w:style w:type="paragraph" w:styleId="1088" w:customStyle="1">
    <w:name w:val="目录 21"/>
    <w:basedOn w:val="777"/>
    <w:next w:val="777"/>
    <w:uiPriority w:val="0"/>
    <w:semiHidden/>
    <w:qFormat/>
    <w:pPr>
      <w:ind w:left="210"/>
      <w:jc w:val="left"/>
    </w:pPr>
    <w:rPr>
      <w:smallCaps/>
      <w:szCs w:val="24"/>
    </w:rPr>
  </w:style>
  <w:style w:type="paragraph" w:styleId="1089" w:customStyle="1">
    <w:name w:val="目录 91"/>
    <w:basedOn w:val="777"/>
    <w:next w:val="777"/>
    <w:uiPriority w:val="0"/>
    <w:semiHidden/>
    <w:qFormat/>
    <w:pPr>
      <w:ind w:left="1680"/>
      <w:jc w:val="left"/>
    </w:pPr>
  </w:style>
  <w:style w:type="paragraph" w:styleId="1090" w:customStyle="1">
    <w:name w:val="正文文本 21"/>
    <w:basedOn w:val="777"/>
    <w:link w:val="1091"/>
    <w:uiPriority w:val="0"/>
    <w:qFormat/>
    <w:pPr>
      <w:jc w:val="center"/>
      <w:widowControl/>
    </w:pPr>
    <w:rPr>
      <w:rFonts w:ascii="楷体_GB2312" w:eastAsia="楷体_GB2312"/>
      <w:sz w:val="28"/>
      <w:szCs w:val="28"/>
    </w:rPr>
  </w:style>
  <w:style w:type="character" w:styleId="1091" w:customStyle="1">
    <w:name w:val="正文文本 2 Char"/>
    <w:link w:val="1090"/>
    <w:uiPriority w:val="0"/>
    <w:qFormat/>
    <w:rPr>
      <w:rFonts w:ascii="楷体_GB2312" w:hAnsi="Times New Roman" w:eastAsia="楷体_GB2312" w:cs="Times New Roman"/>
      <w:sz w:val="28"/>
      <w:szCs w:val="28"/>
    </w:rPr>
  </w:style>
  <w:style w:type="paragraph" w:styleId="1092" w:customStyle="1">
    <w:name w:val="列表接续 21"/>
    <w:basedOn w:val="777"/>
    <w:next w:val="777"/>
    <w:uiPriority w:val="0"/>
    <w:qFormat/>
    <w:pPr>
      <w:ind w:left="840"/>
      <w:spacing w:after="120"/>
    </w:pPr>
  </w:style>
  <w:style w:type="paragraph" w:styleId="1093"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94" w:customStyle="1">
    <w:name w:val="索引 11"/>
    <w:basedOn w:val="777"/>
    <w:next w:val="777"/>
    <w:uiPriority w:val="0"/>
    <w:semiHidden/>
    <w:qFormat/>
    <w:pPr>
      <w:spacing w:line="240" w:lineRule="atLeast"/>
    </w:pPr>
    <w:rPr>
      <w:b/>
      <w:bCs/>
    </w:rPr>
  </w:style>
  <w:style w:type="paragraph" w:styleId="1095" w:customStyle="1">
    <w:name w:val="批注主题1"/>
    <w:basedOn w:val="1054"/>
    <w:next w:val="1054"/>
    <w:link w:val="1096"/>
    <w:uiPriority w:val="0"/>
    <w:semiHidden/>
    <w:qFormat/>
    <w:rPr>
      <w:b/>
      <w:bCs/>
    </w:rPr>
  </w:style>
  <w:style w:type="character" w:styleId="1096" w:customStyle="1">
    <w:name w:val="批注主题 Char"/>
    <w:link w:val="1095"/>
    <w:uiPriority w:val="0"/>
    <w:semiHidden/>
    <w:qFormat/>
    <w:rPr>
      <w:rFonts w:ascii="Times New Roman" w:hAnsi="Times New Roman" w:eastAsia="宋体" w:cs="Times New Roman"/>
      <w:b/>
      <w:bCs/>
      <w:szCs w:val="21"/>
    </w:rPr>
  </w:style>
  <w:style w:type="paragraph" w:styleId="1097" w:customStyle="1">
    <w:name w:val="正文首行缩进11"/>
    <w:basedOn w:val="777"/>
    <w:link w:val="1098"/>
    <w:uiPriority w:val="0"/>
    <w:qFormat/>
    <w:pPr>
      <w:ind w:firstLine="200"/>
      <w:spacing w:line="360" w:lineRule="auto"/>
    </w:pPr>
    <w:rPr>
      <w:rFonts w:ascii="仿宋_GB2312" w:eastAsia="仿宋_GB2312"/>
      <w:sz w:val="30"/>
      <w:szCs w:val="30"/>
    </w:rPr>
  </w:style>
  <w:style w:type="character" w:styleId="1098" w:customStyle="1">
    <w:name w:val="正文首行缩进 Char"/>
    <w:link w:val="1097"/>
    <w:uiPriority w:val="0"/>
    <w:qFormat/>
    <w:rPr>
      <w:rFonts w:ascii="仿宋_GB2312" w:hAnsi="Times New Roman" w:eastAsia="仿宋_GB2312" w:cs="Times New Roman"/>
      <w:sz w:val="30"/>
      <w:szCs w:val="30"/>
    </w:rPr>
  </w:style>
  <w:style w:type="paragraph" w:styleId="1099" w:customStyle="1">
    <w:name w:val="正文首行缩进 21"/>
    <w:basedOn w:val="1058"/>
    <w:link w:val="1100"/>
    <w:uiPriority w:val="0"/>
    <w:qFormat/>
    <w:pPr>
      <w:ind w:firstLine="420"/>
      <w:spacing w:line="360" w:lineRule="auto"/>
    </w:pPr>
    <w:rPr>
      <w:rFonts w:ascii="宋体" w:hAnsi="宋体" w:eastAsia="宋体"/>
      <w:sz w:val="21"/>
      <w:szCs w:val="20"/>
    </w:rPr>
  </w:style>
  <w:style w:type="character" w:styleId="1100" w:customStyle="1">
    <w:name w:val="正文首行缩进 2 Char"/>
    <w:link w:val="1099"/>
    <w:uiPriority w:val="0"/>
    <w:qFormat/>
    <w:rPr>
      <w:rFonts w:ascii="宋体" w:hAnsi="宋体" w:eastAsia="宋体" w:cs="Times New Roman"/>
      <w:sz w:val="32"/>
      <w:szCs w:val="20"/>
    </w:rPr>
  </w:style>
  <w:style w:type="table" w:styleId="1101" w:customStyle="1">
    <w:name w:val="网格型1"/>
    <w:basedOn w:val="1043"/>
    <w:uiPriority w:val="0"/>
    <w:qFormat/>
    <w:pPr>
      <w:jc w:val="both"/>
      <w:widowControl w:val="off"/>
    </w:pPr>
    <w:tblPr/>
  </w:style>
  <w:style w:type="character" w:styleId="1102" w:customStyle="1">
    <w:name w:val="要点1"/>
    <w:uiPriority w:val="0"/>
    <w:qFormat/>
    <w:rPr>
      <w:b/>
      <w:bCs/>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超链接1"/>
    <w:uiPriority w:val="0"/>
    <w:qFormat/>
    <w:rPr>
      <w:color w:val="0000ff"/>
      <w:u w:val="single"/>
    </w:rPr>
  </w:style>
  <w:style w:type="character" w:styleId="1106" w:customStyle="1">
    <w:name w:val="批注引用1"/>
    <w:uiPriority w:val="0"/>
    <w:semiHidden/>
    <w:qFormat/>
    <w:rPr>
      <w:sz w:val="21"/>
      <w:szCs w:val="21"/>
    </w:rPr>
  </w:style>
  <w:style w:type="character" w:styleId="1107" w:customStyle="1">
    <w:name w:val="列出段落 Char"/>
    <w:link w:val="1108"/>
    <w:uiPriority w:val="0"/>
    <w:qFormat/>
    <w:rPr>
      <w:rFonts w:ascii="Calibri" w:hAnsi="Calibri"/>
      <w:sz w:val="24"/>
      <w:szCs w:val="24"/>
      <w:lang w:eastAsia="en-US" w:bidi="en-US"/>
    </w:rPr>
  </w:style>
  <w:style w:type="paragraph" w:styleId="1108" w:customStyle="1">
    <w:name w:val="列出段落1"/>
    <w:basedOn w:val="777"/>
    <w:link w:val="1107"/>
    <w:uiPriority w:val="0"/>
    <w:qFormat/>
    <w:pPr>
      <w:contextualSpacing/>
      <w:ind w:left="720"/>
      <w:jc w:val="left"/>
      <w:widowControl/>
    </w:pPr>
    <w:rPr>
      <w:rFonts w:ascii="Calibri" w:hAnsi="Calibri"/>
      <w:sz w:val="24"/>
      <w:szCs w:val="24"/>
      <w:lang w:eastAsia="en-US" w:bidi="en-US"/>
    </w:rPr>
  </w:style>
  <w:style w:type="character" w:styleId="1109" w:customStyle="1">
    <w:name w:val="font5 Char"/>
    <w:uiPriority w:val="0"/>
    <w:qFormat/>
    <w:rPr>
      <w:rFonts w:ascii="宋体" w:hAnsi="宋体" w:eastAsia="宋体"/>
      <w:sz w:val="28"/>
      <w:szCs w:val="28"/>
      <w:lang w:val="en-US" w:eastAsia="zh-CN" w:bidi="ar-SA"/>
    </w:rPr>
  </w:style>
  <w:style w:type="character" w:styleId="1110" w:customStyle="1">
    <w:name w:val="二级目录 Char"/>
    <w:link w:val="1111"/>
    <w:uiPriority w:val="0"/>
    <w:qFormat/>
    <w:rPr>
      <w:b/>
      <w:sz w:val="30"/>
      <w:szCs w:val="28"/>
    </w:rPr>
  </w:style>
  <w:style w:type="paragraph" w:styleId="1111" w:customStyle="1">
    <w:name w:val="二级目录"/>
    <w:next w:val="777"/>
    <w:link w:val="111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112" w:customStyle="1">
    <w:name w:val="首行缩进"/>
    <w:basedOn w:val="777"/>
    <w:uiPriority w:val="0"/>
    <w:qFormat/>
    <w:pPr>
      <w:ind w:firstLine="480"/>
    </w:pPr>
    <w:rPr>
      <w:lang w:val="zh-CN"/>
    </w:rPr>
  </w:style>
  <w:style w:type="paragraph" w:styleId="1113" w:customStyle="1">
    <w:name w:val="正文_3_0_0"/>
    <w:next w:val="111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14" w:customStyle="1">
    <w:name w:val="正文文本缩进_1_0_0"/>
    <w:basedOn w:val="1113"/>
    <w:next w:val="1113"/>
    <w:uiPriority w:val="99"/>
    <w:unhideWhenUsed/>
    <w:qFormat/>
    <w:pPr>
      <w:ind w:firstLine="225"/>
    </w:pPr>
    <w:rPr>
      <w:rFonts w:hint="eastAsia" w:ascii="仿宋_GB2312" w:eastAsia="仿宋_GB2312"/>
      <w:sz w:val="32"/>
    </w:rPr>
  </w:style>
  <w:style w:type="paragraph" w:styleId="1115" w:customStyle="1">
    <w:name w:val="索引 41"/>
    <w:basedOn w:val="777"/>
    <w:next w:val="777"/>
    <w:uiPriority w:val="0"/>
    <w:semiHidden/>
    <w:qFormat/>
    <w:pPr>
      <w:ind w:left="1260"/>
    </w:pPr>
    <w:rPr>
      <w:rFonts w:ascii="Calibri" w:hAnsi="Calibri" w:eastAsia="Calibri" w:cs="宋体"/>
      <w:sz w:val="20"/>
      <w:lang w:val="zh-CN"/>
    </w:rPr>
  </w:style>
  <w:style w:type="paragraph" w:styleId="1116" w:customStyle="1">
    <w:name w:val="Normal_13_0"/>
    <w:uiPriority w:val="0"/>
    <w:qFormat/>
    <w:rPr>
      <w:rFonts w:hint="default" w:ascii="黑体" w:hAnsi="黑体" w:eastAsia="黑体" w:cs="黑体"/>
      <w:b/>
      <w:sz w:val="32"/>
      <w:szCs w:val="24"/>
      <w:lang w:val="en-US" w:eastAsia="zh-CN" w:bidi="ar-SA"/>
    </w:rPr>
  </w:style>
  <w:style w:type="paragraph" w:styleId="1117" w:customStyle="1">
    <w:name w:val="table_1stline"/>
    <w:basedOn w:val="777"/>
    <w:uiPriority w:val="0"/>
    <w:qFormat/>
    <w:pPr>
      <w:jc w:val="left"/>
      <w:spacing w:before="120"/>
      <w:widowControl/>
    </w:pPr>
    <w:rPr>
      <w:bCs/>
      <w:sz w:val="20"/>
      <w:szCs w:val="20"/>
      <w:lang w:val="de-DE" w:eastAsia="de-DE"/>
    </w:rPr>
  </w:style>
  <w:style w:type="paragraph" w:styleId="1118" w:customStyle="1">
    <w:name w:val="正文_12_0_0_0_0"/>
    <w:basedOn w:val="777"/>
    <w:uiPriority w:val="0"/>
    <w:qFormat/>
    <w:rPr>
      <w:szCs w:val="24"/>
    </w:rPr>
  </w:style>
  <w:style w:type="paragraph" w:styleId="1119" w:customStyle="1">
    <w:name w:val="正文_3_0"/>
    <w:next w:val="112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文本缩进_1_0"/>
    <w:basedOn w:val="1119"/>
    <w:next w:val="1119"/>
    <w:uiPriority w:val="99"/>
    <w:unhideWhenUsed/>
    <w:qFormat/>
    <w:pPr>
      <w:ind w:firstLine="225"/>
    </w:pPr>
    <w:rPr>
      <w:rFonts w:hint="eastAsia" w:ascii="仿宋_GB2312" w:eastAsia="仿宋_GB2312"/>
      <w:sz w:val="32"/>
      <w:szCs w:val="24"/>
    </w:rPr>
  </w:style>
  <w:style w:type="paragraph" w:styleId="1121"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122"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4" w:customStyle="1">
    <w:name w:val="4"/>
    <w:basedOn w:val="777"/>
    <w:next w:val="1085"/>
    <w:uiPriority w:val="0"/>
    <w:qFormat/>
    <w:pPr>
      <w:ind w:firstLine="420"/>
      <w:spacing w:line="360" w:lineRule="auto"/>
    </w:pPr>
    <w:rPr>
      <w:color w:val="ff0000"/>
      <w:sz w:val="24"/>
      <w:szCs w:val="24"/>
    </w:rPr>
  </w:style>
  <w:style w:type="paragraph" w:styleId="1125" w:customStyle="1">
    <w:name w:val="左对齐正文"/>
    <w:uiPriority w:val="99"/>
    <w:qFormat/>
    <w:rPr>
      <w:rFonts w:hint="default" w:ascii="Calibri" w:hAnsi="Calibri" w:eastAsia="仿宋_GB2312" w:cs="Calibri"/>
      <w:sz w:val="32"/>
      <w:szCs w:val="32"/>
      <w:lang w:val="en-US" w:eastAsia="zh-CN" w:bidi="ar-SA"/>
    </w:rPr>
  </w:style>
  <w:style w:type="paragraph" w:styleId="1126"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2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130"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Char"/>
    <w:basedOn w:val="1052"/>
    <w:uiPriority w:val="0"/>
    <w:qFormat/>
    <w:rPr>
      <w:rFonts w:ascii="Tahoma" w:hAnsi="Tahoma"/>
      <w:sz w:val="24"/>
      <w:szCs w:val="24"/>
    </w:rPr>
  </w:style>
  <w:style w:type="paragraph" w:styleId="1132" w:customStyle="1">
    <w:name w:val="Char1"/>
    <w:basedOn w:val="777"/>
    <w:uiPriority w:val="0"/>
    <w:qFormat/>
    <w:pPr>
      <w:ind w:firstLine="200"/>
      <w:tabs>
        <w:tab w:val="left" w:pos="360" w:leader="none"/>
      </w:tabs>
    </w:pPr>
    <w:rPr>
      <w:sz w:val="28"/>
      <w:szCs w:val="30"/>
    </w:rPr>
  </w:style>
  <w:style w:type="paragraph" w:styleId="1133" w:customStyle="1">
    <w:name w:val="table_lines"/>
    <w:basedOn w:val="777"/>
    <w:uiPriority w:val="0"/>
    <w:qFormat/>
    <w:pPr>
      <w:jc w:val="left"/>
      <w:widowControl/>
    </w:pPr>
    <w:rPr>
      <w:sz w:val="20"/>
      <w:szCs w:val="20"/>
      <w:lang w:val="de-DE" w:eastAsia="de-DE"/>
    </w:rPr>
  </w:style>
  <w:style w:type="paragraph" w:styleId="1134"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5" w:customStyle="1">
    <w:name w:val="Char Char Char Char"/>
    <w:basedOn w:val="1052"/>
    <w:uiPriority w:val="0"/>
    <w:qFormat/>
    <w:pPr>
      <w:spacing w:line="360" w:lineRule="auto"/>
    </w:pPr>
    <w:rPr>
      <w:rFonts w:ascii="Tahoma" w:hAnsi="Tahoma"/>
      <w:sz w:val="24"/>
      <w:szCs w:val="24"/>
    </w:rPr>
  </w:style>
  <w:style w:type="paragraph" w:styleId="1136" w:customStyle="1">
    <w:name w:val="列出段落2"/>
    <w:basedOn w:val="777"/>
    <w:uiPriority w:val="0"/>
    <w:qFormat/>
    <w:pPr>
      <w:contextualSpacing/>
      <w:ind w:left="720"/>
      <w:jc w:val="left"/>
      <w:widowControl/>
    </w:pPr>
    <w:rPr>
      <w:rFonts w:ascii="Calibri" w:hAnsi="Calibri"/>
      <w:sz w:val="24"/>
      <w:szCs w:val="24"/>
      <w:lang w:eastAsia="en-US" w:bidi="en-US"/>
    </w:rPr>
  </w:style>
  <w:style w:type="paragraph" w:styleId="1137" w:customStyle="1">
    <w:name w:val="Normal_18_0"/>
    <w:uiPriority w:val="0"/>
    <w:qFormat/>
    <w:rPr>
      <w:rFonts w:hint="default" w:ascii="黑体" w:hAnsi="黑体" w:eastAsia="黑体" w:cs="黑体"/>
      <w:b/>
      <w:sz w:val="32"/>
      <w:szCs w:val="24"/>
      <w:lang w:val="en-US" w:eastAsia="zh-CN" w:bidi="ar-SA"/>
    </w:rPr>
  </w:style>
  <w:style w:type="paragraph" w:styleId="1138" w:customStyle="1">
    <w:name w:val="部分1"/>
    <w:basedOn w:val="777"/>
    <w:uiPriority w:val="0"/>
    <w:qFormat/>
    <w:pPr>
      <w:jc w:val="center"/>
      <w:keepNext/>
      <w:pageBreakBefore/>
      <w:spacing w:line="360" w:lineRule="auto"/>
      <w:tabs>
        <w:tab w:val="left" w:pos="720" w:leader="none"/>
      </w:tabs>
      <w:outlineLvl w:val="0"/>
    </w:pPr>
    <w:rPr>
      <w:rFonts w:eastAsia="黑体"/>
      <w:b/>
      <w:sz w:val="36"/>
      <w:szCs w:val="20"/>
    </w:rPr>
  </w:style>
  <w:style w:type="paragraph" w:styleId="1139"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4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1" w:customStyle="1">
    <w:name w:val="正文首行缩进1"/>
    <w:basedOn w:val="843"/>
    <w:next w:val="803"/>
    <w:uiPriority w:val="0"/>
    <w:qFormat/>
    <w:pPr>
      <w:ind w:firstLine="100"/>
      <w:spacing w:after="120" w:line="240" w:lineRule="auto"/>
    </w:pPr>
    <w:rPr>
      <w:rFonts w:ascii="Times New Roman" w:eastAsia="宋体"/>
      <w:sz w:val="21"/>
    </w:rPr>
  </w:style>
  <w:style w:type="paragraph" w:styleId="1142" w:customStyle="1">
    <w:name w:val="正文文本12"/>
    <w:basedOn w:val="777"/>
    <w:uiPriority w:val="1"/>
    <w:qFormat/>
    <w:pPr>
      <w:ind w:left="120"/>
    </w:pPr>
    <w:rPr>
      <w:rFonts w:ascii="宋体" w:hAnsi="宋体" w:cs="宋体"/>
      <w:lang w:val="zh-CN" w:bidi="zh-CN"/>
    </w:rPr>
  </w:style>
  <w:style w:type="paragraph" w:styleId="114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5"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146"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147"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正文_3_0_0_0_0"/>
    <w:next w:val="1150"/>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50" w:customStyle="1">
    <w:name w:val="正文文本缩进_1_0_0_0_0"/>
    <w:basedOn w:val="1149"/>
    <w:next w:val="1149"/>
    <w:uiPriority w:val="99"/>
    <w:unhideWhenUsed/>
    <w:qFormat/>
    <w:pPr>
      <w:ind w:firstLine="225"/>
    </w:pPr>
    <w:rPr>
      <w:rFonts w:hint="eastAsia" w:ascii="仿宋_GB2312" w:eastAsia="仿宋_GB2312"/>
      <w:sz w:val="32"/>
    </w:rPr>
  </w:style>
  <w:style w:type="paragraph" w:styleId="1151" w:customStyle="1">
    <w:name w:val="样式1"/>
    <w:basedOn w:val="777"/>
    <w:uiPriority w:val="0"/>
    <w:qFormat/>
    <w:pPr>
      <w:numPr>
        <w:ilvl w:val="0"/>
        <w:numId w:val="3"/>
      </w:numPr>
    </w:pPr>
    <w:rPr>
      <w:rFonts w:ascii="宋体" w:hAnsi="宋体"/>
    </w:rPr>
  </w:style>
  <w:style w:type="paragraph" w:styleId="1152"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154" w:customStyle="1">
    <w:name w:val="Char 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155"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1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60" w:customStyle="1">
    <w:name w:val="正文文本缩进_1_0_0_0"/>
    <w:basedOn w:val="1161"/>
    <w:next w:val="1161"/>
    <w:uiPriority w:val="99"/>
    <w:unhideWhenUsed/>
    <w:qFormat/>
    <w:pPr>
      <w:ind w:firstLine="225"/>
    </w:pPr>
    <w:rPr>
      <w:rFonts w:hint="eastAsia" w:ascii="仿宋_GB2312" w:eastAsia="仿宋_GB2312"/>
      <w:sz w:val="32"/>
    </w:rPr>
  </w:style>
  <w:style w:type="paragraph" w:styleId="1161" w:customStyle="1">
    <w:name w:val="正文_3_0_0_0"/>
    <w:next w:val="1160"/>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6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Normal_6_0"/>
    <w:uiPriority w:val="0"/>
    <w:qFormat/>
    <w:rPr>
      <w:rFonts w:hint="default" w:ascii="黑体" w:hAnsi="黑体" w:eastAsia="黑体" w:cs="黑体"/>
      <w:b/>
      <w:sz w:val="32"/>
      <w:szCs w:val="24"/>
      <w:lang w:val="en-US" w:eastAsia="zh-CN" w:bidi="ar-SA"/>
    </w:rPr>
  </w:style>
  <w:style w:type="paragraph" w:styleId="1164" w:customStyle="1">
    <w:name w:val="Char Char Char Char1"/>
    <w:basedOn w:val="1052"/>
    <w:uiPriority w:val="0"/>
    <w:qFormat/>
    <w:pPr>
      <w:spacing w:line="360" w:lineRule="auto"/>
    </w:pPr>
    <w:rPr>
      <w:rFonts w:ascii="Tahoma" w:hAnsi="Tahoma"/>
      <w:sz w:val="24"/>
      <w:szCs w:val="24"/>
    </w:rPr>
  </w:style>
  <w:style w:type="paragraph" w:styleId="11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8" w:customStyle="1">
    <w:name w:val="Body Text(ch)"/>
    <w:basedOn w:val="777"/>
    <w:next w:val="829"/>
    <w:uiPriority w:val="0"/>
    <w:qFormat/>
    <w:pPr>
      <w:spacing w:after="120"/>
    </w:pPr>
    <w:rPr>
      <w:rFonts w:ascii="宋体" w:hAnsi="Arial"/>
      <w:bCs/>
      <w:iCs/>
      <w:szCs w:val="24"/>
    </w:rPr>
  </w:style>
  <w:style w:type="paragraph" w:styleId="1169"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0" w:customStyle="1">
    <w:name w:val="正文文本缩进_1"/>
    <w:basedOn w:val="1171"/>
    <w:next w:val="1173"/>
    <w:uiPriority w:val="99"/>
    <w:unhideWhenUsed/>
    <w:qFormat/>
    <w:pPr>
      <w:ind w:firstLine="225"/>
    </w:pPr>
    <w:rPr>
      <w:rFonts w:hint="eastAsia" w:ascii="仿宋_GB2312" w:eastAsia="仿宋_GB2312"/>
      <w:sz w:val="32"/>
      <w:szCs w:val="24"/>
    </w:rPr>
  </w:style>
  <w:style w:type="paragraph" w:styleId="1171" w:customStyle="1">
    <w:name w:val="正文_17_0"/>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首行缩进 2_1"/>
    <w:basedOn w:val="1170"/>
    <w:uiPriority w:val="0"/>
    <w:qFormat/>
    <w:pPr>
      <w:ind w:firstLine="420"/>
    </w:pPr>
  </w:style>
  <w:style w:type="paragraph" w:styleId="117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176" w:customStyle="1">
    <w:name w:val="正文空2字"/>
    <w:basedOn w:val="1125"/>
    <w:uiPriority w:val="99"/>
    <w:qFormat/>
    <w:pPr>
      <w:ind w:firstLine="640"/>
      <w:spacing w:line="560" w:lineRule="exact"/>
      <w:widowControl w:val="off"/>
    </w:pPr>
    <w:rPr>
      <w:rFonts w:ascii="仿宋_GB2312" w:hAnsi="仿宋_GB2312" w:cs="仿宋_GB2312"/>
      <w:lang w:val="zh-TW"/>
    </w:rPr>
  </w:style>
  <w:style w:type="paragraph" w:styleId="1177" w:customStyle="1">
    <w:name w:val="列出段落_2"/>
    <w:basedOn w:val="1165"/>
    <w:uiPriority w:val="34"/>
    <w:qFormat/>
    <w:pPr>
      <w:ind w:firstLine="420"/>
    </w:pPr>
  </w:style>
  <w:style w:type="paragraph" w:styleId="1178" w:customStyle="1">
    <w:name w:val="Normal_20"/>
    <w:uiPriority w:val="0"/>
    <w:qFormat/>
    <w:rPr>
      <w:rFonts w:hint="default" w:ascii="黑体" w:hAnsi="黑体" w:eastAsia="黑体" w:cs="黑体"/>
      <w:b/>
      <w:sz w:val="32"/>
      <w:szCs w:val="24"/>
      <w:lang w:val="en-US" w:eastAsia="zh-CN" w:bidi="ar-SA"/>
    </w:rPr>
  </w:style>
  <w:style w:type="paragraph" w:styleId="1179" w:customStyle="1">
    <w:name w:val="Normal_0"/>
    <w:uiPriority w:val="0"/>
    <w:qFormat/>
    <w:rPr>
      <w:rFonts w:hint="default" w:ascii="黑体" w:hAnsi="黑体" w:eastAsia="黑体" w:cs="Times New Roman"/>
      <w:b/>
      <w:sz w:val="32"/>
      <w:szCs w:val="24"/>
      <w:lang w:val="en-US" w:eastAsia="zh-CN" w:bidi="ar-SA"/>
    </w:rPr>
  </w:style>
  <w:style w:type="paragraph" w:styleId="11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Char Char Char Char Char Char Char Char Char Char"/>
    <w:basedOn w:val="777"/>
    <w:uiPriority w:val="0"/>
    <w:qFormat/>
    <w:pPr>
      <w:spacing w:line="360" w:lineRule="auto"/>
    </w:pPr>
    <w:rPr>
      <w:sz w:val="24"/>
      <w:szCs w:val="20"/>
    </w:rPr>
  </w:style>
  <w:style w:type="paragraph" w:styleId="1182"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183"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84" w:customStyle="1">
    <w:name w:val="Table Normal"/>
    <w:uiPriority w:val="0"/>
    <w:qFormat/>
    <w:tblPr>
      <w:tblCellMar>
        <w:left w:w="0" w:type="dxa"/>
        <w:top w:w="0" w:type="dxa"/>
        <w:right w:w="0" w:type="dxa"/>
        <w:bottom w:w="0" w:type="dxa"/>
      </w:tblCellMar>
    </w:tblPr>
  </w:style>
  <w:style w:type="paragraph" w:styleId="1185">
    <w:name w:val="List Paragraph"/>
    <w:basedOn w:val="777"/>
    <w:uiPriority w:val="34"/>
    <w:qFormat/>
    <w:pPr>
      <w:ind w:firstLine="420"/>
    </w:pPr>
  </w:style>
  <w:style w:type="paragraph" w:styleId="1186"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87" w:customStyle="1">
    <w:name w:val="font11"/>
    <w:basedOn w:val="787"/>
    <w:uiPriority w:val="0"/>
    <w:qFormat/>
    <w:rPr>
      <w:rFonts w:hint="eastAsia" w:ascii="方正仿宋_GBK" w:hAnsi="方正仿宋_GBK" w:eastAsia="方正仿宋_GBK" w:cs="方正仿宋_GBK"/>
      <w:color w:val="000000"/>
      <w:sz w:val="32"/>
      <w:szCs w:val="32"/>
      <w:u w:val="none"/>
    </w:rPr>
  </w:style>
  <w:style w:type="character" w:styleId="1188" w:customStyle="1">
    <w:name w:val="font21"/>
    <w:basedOn w:val="787"/>
    <w:uiPriority w:val="0"/>
    <w:qFormat/>
    <w:rPr>
      <w:rFonts w:hint="eastAsia" w:ascii="宋体" w:hAnsi="宋体" w:eastAsia="宋体" w:cs="宋体"/>
      <w:color w:val="000000"/>
      <w:sz w:val="20"/>
      <w:szCs w:val="20"/>
      <w:u w:val="none"/>
    </w:rPr>
  </w:style>
  <w:style w:type="character" w:styleId="1189" w:customStyle="1">
    <w:name w:val="默认段落字体11"/>
    <w:link w:val="777"/>
    <w:uiPriority w:val="1"/>
    <w:unhideWhenUsed/>
    <w:qFormat/>
    <w:rPr>
      <w:rFonts w:hint="default" w:ascii="Times New Roman" w:hAnsi="Times New Roman" w:eastAsia="宋体" w:cs="Times New Roman"/>
      <w:sz w:val="21"/>
      <w:szCs w:val="21"/>
      <w:lang w:val="en-US" w:eastAsia="zh-CN" w:bidi="ar-SA"/>
    </w:rPr>
  </w:style>
  <w:style w:type="character" w:styleId="1190" w:customStyle="1">
    <w:name w:val="layui-layer-tabnow"/>
    <w:basedOn w:val="787"/>
    <w:uiPriority w:val="0"/>
    <w:qFormat/>
    <w:rPr>
      <w:shd w:val="clear" w:color="auto" w:fill="ffffff"/>
    </w:rPr>
  </w:style>
  <w:style w:type="character" w:styleId="1191" w:customStyle="1">
    <w:name w:val="hour_am"/>
    <w:basedOn w:val="787"/>
    <w:uiPriority w:val="0"/>
    <w:qFormat/>
  </w:style>
  <w:style w:type="character" w:styleId="1192" w:customStyle="1">
    <w:name w:val="hover5"/>
    <w:basedOn w:val="787"/>
    <w:uiPriority w:val="0"/>
    <w:qFormat/>
    <w:rPr>
      <w:shd w:val="clear" w:color="auto" w:fill="eeeeee"/>
    </w:rPr>
  </w:style>
  <w:style w:type="character" w:styleId="1193" w:customStyle="1">
    <w:name w:val="old"/>
    <w:basedOn w:val="787"/>
    <w:uiPriority w:val="0"/>
    <w:qFormat/>
    <w:rPr>
      <w:color w:val="999999"/>
    </w:rPr>
  </w:style>
  <w:style w:type="character" w:styleId="1194" w:customStyle="1">
    <w:name w:val="glyphicon"/>
    <w:basedOn w:val="787"/>
    <w:uiPriority w:val="0"/>
    <w:qFormat/>
  </w:style>
  <w:style w:type="character" w:styleId="1195" w:customStyle="1">
    <w:name w:val="hour_pm"/>
    <w:basedOn w:val="787"/>
    <w:uiPriority w:val="0"/>
    <w:qFormat/>
  </w:style>
  <w:style w:type="character" w:styleId="1196" w:customStyle="1">
    <w:name w:val="first-child"/>
    <w:basedOn w:val="787"/>
    <w:uiPriority w:val="0"/>
    <w:qFormat/>
  </w:style>
  <w:style w:type="character" w:styleId="1197" w:customStyle="1">
    <w:name w:val="hover"/>
    <w:basedOn w:val="787"/>
    <w:uiPriority w:val="0"/>
    <w:qFormat/>
    <w:rPr>
      <w:shd w:val="clear" w:color="auto" w:fill="eeeeee"/>
    </w:rPr>
  </w:style>
  <w:style w:type="paragraph" w:styleId="1198" w:customStyle="1">
    <w:name w:val="WPSOffice手动目录 1"/>
    <w:uiPriority w:val="0"/>
    <w:qFormat/>
    <w:rPr>
      <w:rFonts w:hint="default" w:ascii="Times New Roman" w:hAnsi="Times New Roman" w:eastAsia="宋体" w:cs="Times New Roman"/>
      <w:sz w:val="20"/>
      <w:szCs w:val="20"/>
    </w:rPr>
  </w:style>
  <w:style w:type="character" w:styleId="1199" w:customStyle="1">
    <w:name w:val="font71"/>
    <w:basedOn w:val="787"/>
    <w:uiPriority w:val="0"/>
    <w:qFormat/>
    <w:rPr>
      <w:rFonts w:hint="eastAsia" w:ascii="宋体" w:hAnsi="宋体" w:eastAsia="宋体" w:cs="宋体"/>
      <w:color w:val="000000"/>
      <w:sz w:val="21"/>
      <w:szCs w:val="21"/>
      <w:u w:val="none"/>
    </w:rPr>
  </w:style>
  <w:style w:type="character" w:styleId="1200" w:customStyle="1">
    <w:name w:val="font31"/>
    <w:basedOn w:val="787"/>
    <w:uiPriority w:val="0"/>
    <w:qFormat/>
    <w:rPr>
      <w:rFonts w:hint="eastAsia" w:ascii="宋体" w:hAnsi="宋体" w:eastAsia="宋体" w:cs="宋体"/>
      <w:color w:val="000000"/>
      <w:sz w:val="20"/>
      <w:szCs w:val="20"/>
      <w:u w:val="none"/>
    </w:rPr>
  </w:style>
  <w:style w:type="paragraph" w:styleId="1201" w:customStyle="1">
    <w:name w:val="标题 211"/>
    <w:basedOn w:val="777"/>
    <w:next w:val="830"/>
    <w:uiPriority w:val="0"/>
    <w:qFormat/>
    <w:pPr>
      <w:keepLines/>
      <w:keepNext/>
      <w:spacing w:before="260" w:after="260" w:line="413" w:lineRule="auto"/>
      <w:outlineLvl w:val="1"/>
    </w:pPr>
    <w:rPr>
      <w:rFonts w:ascii="Arial" w:hAnsi="Arial" w:eastAsia="黑体"/>
      <w:b/>
      <w:sz w:val="32"/>
      <w:szCs w:val="20"/>
    </w:rPr>
  </w:style>
  <w:style w:type="paragraph" w:styleId="1202"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203" w:customStyle="1">
    <w:name w:val="text"/>
    <w:basedOn w:val="787"/>
    <w:uiPriority w:val="0"/>
    <w:qFormat/>
  </w:style>
  <w:style w:type="paragraph" w:styleId="1204"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paragraph" w:styleId="1205" w:customStyle="1">
    <w:name w:val="Body Text First Indent 2_0"/>
    <w:basedOn w:val="1206"/>
    <w:next w:val="1178"/>
    <w:uiPriority w:val="0"/>
    <w:qFormat/>
    <w:pPr>
      <w:ind w:left="200" w:firstLine="200"/>
      <w:spacing w:after="120"/>
    </w:pPr>
    <w:rPr>
      <w:rFonts w:ascii="Times New Roman" w:hAnsi="Times New Roman" w:eastAsia="Times New Roman"/>
      <w:sz w:val="24"/>
    </w:rPr>
  </w:style>
  <w:style w:type="paragraph" w:styleId="1206" w:customStyle="1">
    <w:name w:val="Body Text Indent_0"/>
    <w:basedOn w:val="1178"/>
    <w:next w:val="1178"/>
    <w:uiPriority w:val="0"/>
    <w:qFormat/>
    <w:pPr>
      <w:ind w:firstLine="225"/>
    </w:pPr>
    <w:rPr>
      <w:rFonts w:ascii="仿宋_GB2312" w:eastAsia="仿宋_GB2312"/>
    </w:rPr>
  </w:style>
  <w:style w:type="character" w:styleId="1207" w:customStyle="1">
    <w:name w:val="font51"/>
    <w:basedOn w:val="787"/>
    <w:uiPriority w:val="0"/>
    <w:qFormat/>
    <w:rPr>
      <w:rFonts w:hint="default" w:ascii="Times New Roman" w:hAnsi="Times New Roman" w:cs="Times New Roman"/>
      <w:color w:val="333333"/>
      <w:sz w:val="22"/>
      <w:szCs w:val="22"/>
      <w:u w:val="none"/>
    </w:rPr>
  </w:style>
  <w:style w:type="character" w:styleId="1208" w:customStyle="1">
    <w:name w:val="font41"/>
    <w:basedOn w:val="787"/>
    <w:uiPriority w:val="0"/>
    <w:qFormat/>
    <w:rPr>
      <w:rFonts w:hint="eastAsia" w:ascii="宋体" w:hAnsi="宋体" w:eastAsia="宋体" w:cs="宋体"/>
      <w:color w:val="000000"/>
      <w:sz w:val="20"/>
      <w:szCs w:val="20"/>
      <w:u w:val="none"/>
    </w:rPr>
  </w:style>
  <w:style w:type="paragraph" w:styleId="1209" w:customStyle="1">
    <w:name w:val="Normal_19_2"/>
    <w:uiPriority w:val="0"/>
    <w:qFormat/>
    <w:rPr>
      <w:rFonts w:ascii="黑体" w:hAnsi="黑体" w:eastAsia="黑体" w:cs="黑体"/>
      <w:b/>
      <w:sz w:val="32"/>
      <w:szCs w:val="24"/>
      <w:lang w:val="en-US" w:eastAsia="zh-CN" w:bidi="ar-SA"/>
    </w:rPr>
  </w:style>
  <w:style w:type="paragraph" w:styleId="121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21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Normal_14_0_0"/>
    <w:uiPriority w:val="0"/>
    <w:qFormat/>
    <w:rPr>
      <w:rFonts w:ascii="黑体" w:hAnsi="黑体" w:eastAsia="黑体" w:cs="Times New Roman"/>
      <w:b/>
      <w:sz w:val="32"/>
      <w:szCs w:val="24"/>
      <w:lang w:val="en-US" w:eastAsia="zh-CN" w:bidi="ar-SA"/>
    </w:rPr>
  </w:style>
  <w:style w:type="paragraph" w:styleId="121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Normal_20_0"/>
    <w:uiPriority w:val="0"/>
    <w:qFormat/>
    <w:rPr>
      <w:rFonts w:ascii="黑体" w:hAnsi="黑体" w:eastAsia="黑体" w:cs="黑体"/>
      <w:b/>
      <w:sz w:val="32"/>
      <w:szCs w:val="24"/>
      <w:lang w:val="en-US" w:eastAsia="zh-CN" w:bidi="ar-SA"/>
    </w:rPr>
  </w:style>
  <w:style w:type="paragraph" w:styleId="1215" w:customStyle="1">
    <w:name w:val="正文_13_0"/>
    <w:uiPriority w:val="0"/>
    <w:qFormat/>
    <w:pPr>
      <w:jc w:val="both"/>
      <w:widowControl w:val="off"/>
    </w:pPr>
    <w:rPr>
      <w:rFonts w:ascii="Calibri" w:hAnsi="Calibri" w:eastAsia="宋体" w:cs="Times New Roman"/>
      <w:sz w:val="21"/>
      <w:szCs w:val="22"/>
      <w:lang w:val="en-US" w:eastAsia="zh-CN" w:bidi="ar-SA"/>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31</cp:revision>
  <dcterms:created xsi:type="dcterms:W3CDTF">2023-03-16T10:16:00Z</dcterms:created>
  <dcterms:modified xsi:type="dcterms:W3CDTF">2026-05-13T10:54:16Z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C143DF07EDA541419160EF5766AF198D_13</vt:lpwstr>
  </property>
  <property fmtid="{D5CDD505-2E9C-101B-9397-08002B2CF9AE}" pid="4" name="KSOTemplateDocerSaveRecord">
    <vt:lpwstr>eyJoZGlkIjoiM2I4ZTIwZDRjYjMzMGZhMmM4Y2Q2NTY4Y2VhN2E4MzQiLCJ1c2VySWQiOiIxMDAzMzc5ODM2In0=</vt:lpwstr>
  </property>
</Properties>
</file>